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5CA6F" w14:textId="77777777" w:rsidR="00EA3DAE" w:rsidRPr="000149AD" w:rsidRDefault="00EA3DAE" w:rsidP="00EA3DAE">
      <w:pPr>
        <w:pStyle w:val="BodyTextIndent"/>
        <w:ind w:left="0"/>
      </w:pPr>
      <w:r w:rsidRPr="00172169">
        <w:rPr>
          <w:b/>
          <w:bCs/>
          <w:sz w:val="24"/>
          <w:szCs w:val="24"/>
          <w:u w:val="single"/>
        </w:rPr>
        <w:t xml:space="preserve">Appendix A: </w:t>
      </w:r>
      <w:r>
        <w:rPr>
          <w:b/>
          <w:bCs/>
          <w:sz w:val="24"/>
          <w:szCs w:val="24"/>
          <w:u w:val="single"/>
        </w:rPr>
        <w:t>[</w:t>
      </w:r>
      <w:r w:rsidRPr="00172169">
        <w:rPr>
          <w:b/>
          <w:sz w:val="24"/>
          <w:szCs w:val="24"/>
          <w:u w:val="single"/>
        </w:rPr>
        <w:t>x.</w:t>
      </w:r>
      <w:r>
        <w:rPr>
          <w:b/>
          <w:sz w:val="24"/>
          <w:szCs w:val="24"/>
          <w:u w:val="single"/>
        </w:rPr>
        <w:t>]</w:t>
      </w:r>
      <w:r w:rsidRPr="00172169">
        <w:rPr>
          <w:b/>
          <w:sz w:val="24"/>
          <w:szCs w:val="24"/>
          <w:u w:val="single"/>
        </w:rPr>
        <w:t xml:space="preserve">    Father Xmas Revisited: Where is Father Xmas?</w:t>
      </w:r>
      <w:r w:rsidRPr="00172169">
        <w:rPr>
          <w:b/>
          <w:sz w:val="24"/>
          <w:szCs w:val="24"/>
        </w:rPr>
        <w:t>*</w:t>
      </w:r>
      <w:r w:rsidRPr="00172169">
        <w:rPr>
          <w:rStyle w:val="FootnoteReference"/>
          <w:rFonts w:eastAsiaTheme="majorEastAsia"/>
          <w:bCs/>
          <w:sz w:val="24"/>
          <w:szCs w:val="24"/>
        </w:rPr>
        <w:footnoteReference w:id="1"/>
      </w:r>
    </w:p>
    <w:p w14:paraId="4EB3DA6B" w14:textId="77777777" w:rsidR="00EA3DAE" w:rsidRDefault="00EA3DAE" w:rsidP="00EA3DAE">
      <w:pPr>
        <w:keepNext/>
        <w:jc w:val="both"/>
        <w:outlineLvl w:val="3"/>
        <w:rPr>
          <w:sz w:val="24"/>
        </w:rPr>
      </w:pPr>
    </w:p>
    <w:p w14:paraId="64CF0965" w14:textId="277DB35E" w:rsidR="00EA3DAE" w:rsidRDefault="00EA3DAE" w:rsidP="00EA3DAE">
      <w:pPr>
        <w:keepNext/>
        <w:jc w:val="both"/>
        <w:outlineLvl w:val="3"/>
        <w:rPr>
          <w:sz w:val="24"/>
        </w:rPr>
      </w:pPr>
      <w:r>
        <w:rPr>
          <w:sz w:val="24"/>
        </w:rPr>
        <w:tab/>
        <w:t>In asking the simple question “Where is Father Xmas?” I will contend that the over-committed realist, idealist</w:t>
      </w:r>
      <w:r w:rsidR="00710FC5">
        <w:rPr>
          <w:sz w:val="24"/>
        </w:rPr>
        <w:t>,</w:t>
      </w:r>
      <w:r>
        <w:rPr>
          <w:sz w:val="24"/>
        </w:rPr>
        <w:t xml:space="preserve"> and pragmatist are all unable to locate this mythical character (something even children can do once they realize ‘Father Xmas’ is a fiction)! (871)</w:t>
      </w:r>
    </w:p>
    <w:p w14:paraId="75A84F50" w14:textId="77777777" w:rsidR="00EA3DAE" w:rsidRDefault="00EA3DAE" w:rsidP="00EA3DAE">
      <w:pPr>
        <w:keepNext/>
        <w:jc w:val="both"/>
        <w:outlineLvl w:val="3"/>
        <w:rPr>
          <w:sz w:val="24"/>
        </w:rPr>
      </w:pPr>
    </w:p>
    <w:p w14:paraId="54F7B848" w14:textId="77777777" w:rsidR="00EA3DAE" w:rsidRDefault="00EA3DAE" w:rsidP="00EA3DAE">
      <w:pPr>
        <w:keepNext/>
        <w:ind w:firstLine="720"/>
        <w:jc w:val="both"/>
        <w:outlineLvl w:val="3"/>
        <w:rPr>
          <w:sz w:val="24"/>
        </w:rPr>
      </w:pPr>
      <w:r>
        <w:rPr>
          <w:sz w:val="24"/>
        </w:rPr>
        <w:t xml:space="preserve">That to do so we need to invoke a relational dimension, and, that when we take a pro-relational attitude, we will also simultaneously invoke an existential dimension that is completely coincidental with the same! (872) </w:t>
      </w:r>
    </w:p>
    <w:p w14:paraId="3E6584B0" w14:textId="77777777" w:rsidR="00EA3DAE" w:rsidRDefault="00EA3DAE" w:rsidP="00EA3DAE">
      <w:pPr>
        <w:keepNext/>
        <w:ind w:firstLine="720"/>
        <w:jc w:val="both"/>
        <w:outlineLvl w:val="3"/>
        <w:rPr>
          <w:sz w:val="24"/>
        </w:rPr>
      </w:pPr>
    </w:p>
    <w:p w14:paraId="57A0284E" w14:textId="77777777" w:rsidR="00EA3DAE" w:rsidRDefault="00EA3DAE" w:rsidP="00EA3DAE">
      <w:pPr>
        <w:keepNext/>
        <w:ind w:firstLine="720"/>
        <w:jc w:val="both"/>
        <w:outlineLvl w:val="3"/>
        <w:rPr>
          <w:sz w:val="24"/>
        </w:rPr>
      </w:pPr>
      <w:r>
        <w:rPr>
          <w:sz w:val="24"/>
        </w:rPr>
        <w:t xml:space="preserve">That in accepting this orientation and relatively privileging its apparent point of view we then open ourselves up to this existential dimension along with a critical perspective on how we should ‘selflessly’ intervene in our relationships on their behalf in such a manner so as to advance both their mutual enrichment and our participation in this richness as the true center and source for all value formation! (873) </w:t>
      </w:r>
    </w:p>
    <w:p w14:paraId="36372668" w14:textId="77777777" w:rsidR="00EA3DAE" w:rsidRDefault="00EA3DAE" w:rsidP="00EA3DAE">
      <w:pPr>
        <w:keepNext/>
        <w:ind w:firstLine="720"/>
        <w:jc w:val="both"/>
        <w:outlineLvl w:val="3"/>
        <w:rPr>
          <w:sz w:val="24"/>
        </w:rPr>
      </w:pPr>
    </w:p>
    <w:p w14:paraId="7CC93719" w14:textId="1C56D233" w:rsidR="00EA3DAE" w:rsidRDefault="00EA3DAE" w:rsidP="00EA3DAE">
      <w:pPr>
        <w:keepNext/>
        <w:ind w:firstLine="720"/>
        <w:jc w:val="both"/>
        <w:outlineLvl w:val="3"/>
        <w:rPr>
          <w:sz w:val="24"/>
        </w:rPr>
      </w:pPr>
      <w:r>
        <w:rPr>
          <w:sz w:val="24"/>
        </w:rPr>
        <w:t>That by only aspiring after a circumscribed form of realism, idealism</w:t>
      </w:r>
      <w:r w:rsidR="00710FC5">
        <w:rPr>
          <w:sz w:val="24"/>
        </w:rPr>
        <w:t>,</w:t>
      </w:r>
      <w:r>
        <w:rPr>
          <w:sz w:val="24"/>
        </w:rPr>
        <w:t xml:space="preserve"> and pragmaticism are we then in a position to better appreciate a full flowering of theoretical, practical and critical philosophy; albeit as constituted by us, for-us! (874)</w:t>
      </w:r>
    </w:p>
    <w:p w14:paraId="4E53B9AF" w14:textId="77777777" w:rsidR="00EA3DAE" w:rsidRDefault="00EA3DAE" w:rsidP="00EA3DAE">
      <w:pPr>
        <w:keepNext/>
        <w:ind w:firstLine="720"/>
        <w:jc w:val="both"/>
        <w:outlineLvl w:val="3"/>
        <w:rPr>
          <w:sz w:val="24"/>
        </w:rPr>
      </w:pPr>
    </w:p>
    <w:p w14:paraId="7D07554C" w14:textId="77777777" w:rsidR="00EA3DAE" w:rsidRDefault="00EA3DAE" w:rsidP="00EA3DAE">
      <w:pPr>
        <w:keepNext/>
        <w:ind w:firstLine="720"/>
        <w:jc w:val="both"/>
        <w:outlineLvl w:val="3"/>
        <w:rPr>
          <w:sz w:val="24"/>
        </w:rPr>
      </w:pPr>
      <w:r>
        <w:rPr>
          <w:sz w:val="24"/>
        </w:rPr>
        <w:t>Hence the complex but profound brief of this short exposition. (875)</w:t>
      </w:r>
    </w:p>
    <w:p w14:paraId="1D6045F0" w14:textId="77777777" w:rsidR="00EA3DAE" w:rsidRDefault="00EA3DAE" w:rsidP="00EA3DAE">
      <w:pPr>
        <w:keepNext/>
        <w:jc w:val="both"/>
        <w:outlineLvl w:val="3"/>
        <w:rPr>
          <w:sz w:val="24"/>
        </w:rPr>
      </w:pPr>
    </w:p>
    <w:p w14:paraId="1167CF73" w14:textId="5647B312" w:rsidR="00EA3DAE" w:rsidRDefault="00EA3DAE" w:rsidP="00EA3DAE">
      <w:pPr>
        <w:keepNext/>
        <w:jc w:val="both"/>
        <w:outlineLvl w:val="3"/>
        <w:rPr>
          <w:sz w:val="24"/>
        </w:rPr>
      </w:pPr>
      <w:r>
        <w:rPr>
          <w:sz w:val="24"/>
        </w:rPr>
        <w:tab/>
        <w:t xml:space="preserve">By ‘realism’ I mean something along the lines of ‘an empirically treated </w:t>
      </w:r>
      <w:r w:rsidRPr="003B16D1">
        <w:rPr>
          <w:i/>
          <w:sz w:val="24"/>
        </w:rPr>
        <w:t>de facto</w:t>
      </w:r>
      <w:r>
        <w:rPr>
          <w:sz w:val="24"/>
        </w:rPr>
        <w:t xml:space="preserve"> materialism that proposes that all explanations should be conducted in terms of that </w:t>
      </w:r>
      <w:r w:rsidRPr="003B16D1">
        <w:rPr>
          <w:i/>
          <w:sz w:val="24"/>
        </w:rPr>
        <w:t>de facto</w:t>
      </w:r>
      <w:r>
        <w:rPr>
          <w:sz w:val="24"/>
        </w:rPr>
        <w:t xml:space="preserve"> materialism or realism alone’. In this regard, I exclude that form of realism that perceives universals as having a real existence in some form or other (and, for the moment, those people who merely subscribe to an unfocused vision or version of ‘being realistic to the reality of those reasonable things and possibilities that can be practically found to hand’). In effect, from an intentional perspective, I perceive the over-committed realist as a type of exclusive and extreme ideologue who over-privileges the pure objectiveness and impossible objectivity of the intentional object(ive) whilst not recognizing that the intentional object(ive) is economically</w:t>
      </w:r>
      <w:r>
        <w:rPr>
          <w:rStyle w:val="FootnoteReference"/>
          <w:rFonts w:eastAsiaTheme="majorEastAsia"/>
          <w:sz w:val="24"/>
        </w:rPr>
        <w:footnoteReference w:id="2"/>
      </w:r>
      <w:r>
        <w:rPr>
          <w:sz w:val="24"/>
        </w:rPr>
        <w:t xml:space="preserve"> thematized in an intentional process, within a field, delineated through the selectivity of a meta-textual genre (of behaviour) all subsumed within a hierarchically stratified epistemological field with an accompanying complex sense of subjectivity, etc. In effect, this short-sighted ideologue perpetrates a form of over-commitment to an impossible position that cannot be coherently argued for. Let me demonstrate this. Such an over-committed realist has an historical perspective on the material processes of this world. I.e., either as something that once existed or is in existence now or will come into existence. In these terms of reference, how are we going to find Santa Claus? Such a ‘person’ has never existed, does not exist at this moment </w:t>
      </w:r>
      <w:r>
        <w:rPr>
          <w:sz w:val="24"/>
        </w:rPr>
        <w:lastRenderedPageBreak/>
        <w:t>in time, and will never come into existence. E.g., in comparison, if we had a bowl of apples yesterday and they all got eaten by breakfast this morning we could say that those apples were in this bowl but</w:t>
      </w:r>
      <w:r w:rsidR="00710FC5">
        <w:rPr>
          <w:sz w:val="24"/>
        </w:rPr>
        <w:t>,</w:t>
      </w:r>
      <w:r>
        <w:rPr>
          <w:sz w:val="24"/>
        </w:rPr>
        <w:t xml:space="preserve"> now</w:t>
      </w:r>
      <w:r w:rsidR="00710FC5">
        <w:rPr>
          <w:sz w:val="24"/>
        </w:rPr>
        <w:t>, are</w:t>
      </w:r>
      <w:r>
        <w:rPr>
          <w:sz w:val="24"/>
        </w:rPr>
        <w:t xml:space="preserve"> no longer there. They are now absent from that bowl. But we cannot say that Father Xmas is either absent from or present or will be present in this same world at large. The realist’s exclusive terms of reference cannot account for this mythical entity. We know that this imagined person is mythical and has no material terms of reference. Yes, we could imagine a bowl refilled with apples, but, having no material reference we cannot get this mythical entity ‘to sit in any chair’ and, contrary to the good advice of most concerned parent, ‘be permitted to talk to small children and allowed to sit on his knee whilst being promised toys and the temptation of other treats...’ We can find room for apples in the short-sighted vision of the realist, but, Father Xmas is nowhere to be ‘found’! How then is it possible for non-philosophical folk to say that they can definitively refer to this character when not one over-committed realist can? (876)</w:t>
      </w:r>
    </w:p>
    <w:p w14:paraId="568E1849" w14:textId="77777777" w:rsidR="00EA3DAE" w:rsidRDefault="00EA3DAE" w:rsidP="00EA3DAE">
      <w:pPr>
        <w:keepNext/>
        <w:jc w:val="both"/>
        <w:outlineLvl w:val="3"/>
        <w:rPr>
          <w:sz w:val="24"/>
        </w:rPr>
      </w:pPr>
    </w:p>
    <w:p w14:paraId="24469A7D" w14:textId="4D595365" w:rsidR="00EA3DAE" w:rsidRDefault="00EA3DAE" w:rsidP="00EA3DAE">
      <w:pPr>
        <w:keepNext/>
        <w:jc w:val="both"/>
        <w:outlineLvl w:val="3"/>
        <w:rPr>
          <w:sz w:val="24"/>
        </w:rPr>
      </w:pPr>
      <w:r>
        <w:rPr>
          <w:sz w:val="24"/>
        </w:rPr>
        <w:tab/>
        <w:t>Is the over-committed idealist better able to refer to Father Xmas? Well</w:t>
      </w:r>
      <w:r w:rsidR="008C6494">
        <w:rPr>
          <w:sz w:val="24"/>
        </w:rPr>
        <w:t>,</w:t>
      </w:r>
      <w:r>
        <w:rPr>
          <w:sz w:val="24"/>
        </w:rPr>
        <w:t xml:space="preserve"> they have their self-inflicted difficulties as well. By ‘idealist’ I mean ‘a person who holds the extreme position that the world, that appears there for us, is only imagined to exist in non-material terms since we can only experience mentally formed experiences alone’. For such a one-sided person, a ‘father’ is ‘a male person who has fathered a child or children and where such a title can be extended honorifically, say, to a monk or a priest, e.g.’ But under such exclusive and limited terms of reference how could an idealist distinguish information exclusively defined in such experiential and mentally oriented terms as there is then no way that they can distinguish imaginary fathers from our meeting with people who are deemed, quite rightly, to be fathers as encountered in our ‘worldly experiences populated as it is with a variety of male persons instrumental in the procreation of a family, etc.’! In essence, such misguided folk are inclined to see the intentional process as what should be focused upon without referring to any semblance of an intentional object(ive) ‘towards’ which such intending is apparently directed towards. A bit like grabbing a stick and saying it only has one end because that is what you are hanging on to. Whereas, in contrast, the realist is grabbing on to the other end of that same stick and postulating that only their end, the intentional object(ive) exists; forgetting that mediating this conclusion is the ‘economics’ of the intentional process itself. How then is it possible for non-philosophical folk to say that they can definitively refer to this character when not one over-committed idealist can? (877)</w:t>
      </w:r>
    </w:p>
    <w:p w14:paraId="43A16B73" w14:textId="77777777" w:rsidR="00EA3DAE" w:rsidRDefault="00EA3DAE" w:rsidP="00EA3DAE">
      <w:pPr>
        <w:keepNext/>
        <w:jc w:val="both"/>
        <w:outlineLvl w:val="3"/>
        <w:rPr>
          <w:sz w:val="24"/>
        </w:rPr>
      </w:pPr>
    </w:p>
    <w:p w14:paraId="22A403E7" w14:textId="3E47BE5D" w:rsidR="00EA3DAE" w:rsidRDefault="00EA3DAE" w:rsidP="00EA3DAE">
      <w:pPr>
        <w:keepNext/>
        <w:jc w:val="both"/>
        <w:outlineLvl w:val="3"/>
        <w:rPr>
          <w:sz w:val="24"/>
        </w:rPr>
      </w:pPr>
      <w:r>
        <w:rPr>
          <w:sz w:val="24"/>
        </w:rPr>
        <w:tab/>
        <w:t xml:space="preserve">Now, let us explore whether the over-committed pragmatist puts themselves in a better position to refer to and locate where we would be able to ‘find’ Father Xmas, namely, in a mythical dimension as found appropriated or misappropriated in various contemporary cultures? By a ‘pragmatist’ I mean ‘a person who holds the extreme position that the treatment of experience is purely a linguistic exercise that can only conventionally refer to linguistic artifacts, and, where non-linguistic experience has neither any meaning nor any role in informatively contrasting so-called linguistic entities and their linguistic treatment’. Is it fair to say of such an over-committed ideologue ‘that all is words, mere sounds of fury signifying nothing, nothing else’? Obviously, for such a person a cup of tea merely means ‘a cup of tea’. But since when can a cup of tea be merely brought into existence in strings of words and their re-echoing concepts. Or, who has found a drinkable cup of tea in a dictionary? Significance may be ever referenced through deferral, but, one should not wait too long to find that cup of tea already poured because it can only get cold… if one only keeps deferring to expressions about a decent cup of tea that can already be found to hand. So, the over-committed pragmatist cannot even find an imaginary, mythical Father Xmas… maybe finding their ‘Father Xmas’ but never the Father Xmas as enjoyed in mythical terms of reference. To some extent we could </w:t>
      </w:r>
      <w:r>
        <w:rPr>
          <w:sz w:val="24"/>
        </w:rPr>
        <w:lastRenderedPageBreak/>
        <w:t>say that the pragmatist grabs the middle of a stick and refuses to see that it has two ends on either side of that middle section being short-sightedly handled. How then is it possible for non-philosophical folk to say that they can definitively refer to this character when no over-committed pragmatist can, or could, ever lost as they are in endless, linguistic forms of mere deferral without even realizing</w:t>
      </w:r>
      <w:r w:rsidR="00710FC5">
        <w:rPr>
          <w:sz w:val="24"/>
        </w:rPr>
        <w:t xml:space="preserve"> that</w:t>
      </w:r>
      <w:r>
        <w:rPr>
          <w:sz w:val="24"/>
        </w:rPr>
        <w:t xml:space="preserve"> they are trapped in such an impossible world? (878)</w:t>
      </w:r>
    </w:p>
    <w:p w14:paraId="093688B1" w14:textId="77777777" w:rsidR="00EA3DAE" w:rsidRDefault="00EA3DAE" w:rsidP="00EA3DAE">
      <w:pPr>
        <w:keepNext/>
        <w:jc w:val="both"/>
        <w:outlineLvl w:val="3"/>
        <w:rPr>
          <w:sz w:val="24"/>
        </w:rPr>
      </w:pPr>
    </w:p>
    <w:p w14:paraId="0C26A4A1" w14:textId="77777777" w:rsidR="00EA3DAE" w:rsidRDefault="00EA3DAE" w:rsidP="00EA3DAE">
      <w:pPr>
        <w:keepNext/>
        <w:jc w:val="both"/>
        <w:outlineLvl w:val="3"/>
        <w:rPr>
          <w:sz w:val="24"/>
        </w:rPr>
      </w:pPr>
      <w:r>
        <w:rPr>
          <w:sz w:val="24"/>
        </w:rPr>
        <w:tab/>
        <w:t>Now, the pragmatist, as well the realist and the idealist, do have an exit, namely, in and through the (extended, overall) transcendental suspension! Let me explain. (879)</w:t>
      </w:r>
    </w:p>
    <w:p w14:paraId="41865C0D" w14:textId="77777777" w:rsidR="00EA3DAE" w:rsidRDefault="00EA3DAE" w:rsidP="00EA3DAE">
      <w:pPr>
        <w:keepNext/>
        <w:jc w:val="both"/>
        <w:outlineLvl w:val="3"/>
        <w:rPr>
          <w:sz w:val="24"/>
        </w:rPr>
      </w:pPr>
    </w:p>
    <w:p w14:paraId="5A8634F7" w14:textId="77777777" w:rsidR="00EA3DAE" w:rsidRDefault="00EA3DAE" w:rsidP="00EA3DAE">
      <w:pPr>
        <w:keepNext/>
        <w:jc w:val="both"/>
        <w:outlineLvl w:val="3"/>
        <w:rPr>
          <w:sz w:val="24"/>
        </w:rPr>
      </w:pPr>
      <w:r>
        <w:rPr>
          <w:sz w:val="24"/>
        </w:rPr>
        <w:tab/>
        <w:t>In one respect the pragmatist is right – words do endlessly refer to themselves, but, then, we do not have an infinite amount of time in this regard, in attempting to ‘read’ the nature of our current situatedness. Such deferral has to stop and it is stopped through a(n extended) suspension. Take a process of circulation and, in the direction of its flows, reverse those same forms of relational directedness and we arrive at a suspension. Then, rather than being ‘trapped’ in the ‘centering’ of a suspension we suspend that same suspension, through the de-suspension of that suspension, and, as a result, our experience of reality is restored, albeit centered, as non-extremist in orientation, rooted in the apparent lived-reality of the phenomena under focus, empowered to intervene on the behalf of that relationship in question… purged of all extremist positioning and posturing. (880)</w:t>
      </w:r>
    </w:p>
    <w:p w14:paraId="69AAC431" w14:textId="77777777" w:rsidR="00EA3DAE" w:rsidRDefault="00EA3DAE" w:rsidP="00EA3DAE">
      <w:pPr>
        <w:keepNext/>
        <w:jc w:val="both"/>
        <w:outlineLvl w:val="3"/>
        <w:rPr>
          <w:sz w:val="24"/>
        </w:rPr>
      </w:pPr>
    </w:p>
    <w:p w14:paraId="57356B2F" w14:textId="77777777" w:rsidR="00EA3DAE" w:rsidRDefault="00EA3DAE" w:rsidP="00EA3DAE">
      <w:pPr>
        <w:keepNext/>
        <w:jc w:val="both"/>
        <w:outlineLvl w:val="3"/>
        <w:rPr>
          <w:sz w:val="24"/>
        </w:rPr>
      </w:pPr>
      <w:r>
        <w:rPr>
          <w:sz w:val="24"/>
        </w:rPr>
        <w:tab/>
        <w:t>Rigid realists cannot account for an object or subject that has no historical footprint. Over-imagining idealists cannot discern the difference between Father Xmas and all other fathers since all such entities are stamped by them as just mental artifacts delivered in and through the mere nature of imagined experience. Then, pragmatists as eternal wordsmiths can no more define and differentiate the nature of ‘Father Xmas’ from ‘a hot cup of tea’ since everything for them is nothing but mere linguistic experience… (881)</w:t>
      </w:r>
    </w:p>
    <w:p w14:paraId="375DCCAE" w14:textId="77777777" w:rsidR="00EA3DAE" w:rsidRDefault="00EA3DAE" w:rsidP="00EA3DAE">
      <w:pPr>
        <w:keepNext/>
        <w:jc w:val="both"/>
        <w:outlineLvl w:val="3"/>
        <w:rPr>
          <w:sz w:val="24"/>
        </w:rPr>
      </w:pPr>
    </w:p>
    <w:p w14:paraId="24820A8D" w14:textId="77777777" w:rsidR="00EA3DAE" w:rsidRDefault="00EA3DAE" w:rsidP="00EA3DAE">
      <w:pPr>
        <w:keepNext/>
        <w:jc w:val="both"/>
        <w:outlineLvl w:val="3"/>
        <w:rPr>
          <w:sz w:val="24"/>
        </w:rPr>
      </w:pPr>
      <w:r>
        <w:rPr>
          <w:sz w:val="24"/>
        </w:rPr>
        <w:tab/>
        <w:t>But, there is also another way of seeing an exit from these impossible dilemmas, admittedly along similar lines to the invocation of a(n extended) suspension, by collectively adopting and adapting non-extreme versions of realism, idealism and pragmatism. Let me explain by briefly outlining the ‘aspirational economy’ (as one way of modeling the motivation and successful expedition of intentional experience). (882)</w:t>
      </w:r>
    </w:p>
    <w:p w14:paraId="2BDB86CF" w14:textId="77777777" w:rsidR="00EA3DAE" w:rsidRDefault="00EA3DAE" w:rsidP="00EA3DAE">
      <w:pPr>
        <w:keepNext/>
        <w:jc w:val="both"/>
        <w:outlineLvl w:val="3"/>
        <w:rPr>
          <w:sz w:val="24"/>
        </w:rPr>
      </w:pPr>
    </w:p>
    <w:p w14:paraId="1FCF86E5" w14:textId="77777777" w:rsidR="00EA3DAE" w:rsidRDefault="00EA3DAE" w:rsidP="00EA3DAE">
      <w:pPr>
        <w:keepNext/>
        <w:jc w:val="both"/>
        <w:outlineLvl w:val="3"/>
        <w:rPr>
          <w:sz w:val="24"/>
        </w:rPr>
      </w:pPr>
      <w:r>
        <w:rPr>
          <w:sz w:val="24"/>
        </w:rPr>
        <w:tab/>
        <w:t>Intentional directedness towards the intentional object(ive) is motivated by some cognitively mediated form of desire. We could say that the endurance of desire, for it to possess a sense of duration, finds such retention through taking two forms, namely, personal ambition and social aspiration. Given the absolute necessity for social cooperation, through both forms of imposed co-option and non-imposed co-operation, for us to achieve anything other than merely breathing (for a few days at most), then this distinction between ambition and aspiration cannot be perfectly demarcated and divided one from the other, and v.v. That, the economic driver behind such motivation for either ambition or aspiration is desire thematized through the structural dynamics of the aspirational economy as it applies to both the pursuit of private ambitions and social aspirations (where, in the latter, the individual works for others [and themselves through various forms of remuneration</w:t>
      </w:r>
      <w:r>
        <w:rPr>
          <w:rStyle w:val="FootnoteReference"/>
          <w:rFonts w:eastAsiaTheme="majorEastAsia"/>
          <w:sz w:val="24"/>
        </w:rPr>
        <w:footnoteReference w:id="3"/>
      </w:r>
      <w:r>
        <w:rPr>
          <w:sz w:val="24"/>
        </w:rPr>
        <w:t xml:space="preserve">], [either contractually and/or </w:t>
      </w:r>
      <w:r>
        <w:rPr>
          <w:sz w:val="24"/>
        </w:rPr>
        <w:lastRenderedPageBreak/>
        <w:t>compactually</w:t>
      </w:r>
      <w:r>
        <w:rPr>
          <w:rStyle w:val="FootnoteReference"/>
          <w:rFonts w:eastAsiaTheme="majorEastAsia"/>
          <w:sz w:val="24"/>
        </w:rPr>
        <w:footnoteReference w:id="4"/>
      </w:r>
      <w:r>
        <w:rPr>
          <w:sz w:val="24"/>
        </w:rPr>
        <w:t>], be that individually, as a small unit, a community, an organization, an institution, nationally, etc.). (883)</w:t>
      </w:r>
    </w:p>
    <w:p w14:paraId="7776D4E8" w14:textId="77777777" w:rsidR="00EA3DAE" w:rsidRDefault="00EA3DAE" w:rsidP="00EA3DAE">
      <w:pPr>
        <w:keepNext/>
        <w:jc w:val="both"/>
        <w:outlineLvl w:val="3"/>
        <w:rPr>
          <w:sz w:val="24"/>
        </w:rPr>
      </w:pPr>
    </w:p>
    <w:p w14:paraId="24D2C0B1" w14:textId="77777777" w:rsidR="00EA3DAE" w:rsidRDefault="00EA3DAE" w:rsidP="00EA3DAE">
      <w:pPr>
        <w:keepNext/>
        <w:jc w:val="both"/>
        <w:outlineLvl w:val="3"/>
        <w:rPr>
          <w:sz w:val="24"/>
        </w:rPr>
      </w:pPr>
      <w:r>
        <w:rPr>
          <w:sz w:val="24"/>
        </w:rPr>
        <w:tab/>
        <w:t xml:space="preserve">Now, I perceive desire as being successfully mediated in and through an economy that I envisage as comprising three dialectical moments that are realistic, idealistic and pragmatic in orientation. In setting out on any ‘journey’ we must ‘start where we actually are’. Similarly, in order to realize your desire for </w:t>
      </w:r>
      <w:r w:rsidRPr="00DB3F26">
        <w:rPr>
          <w:i/>
          <w:sz w:val="24"/>
        </w:rPr>
        <w:t>x</w:t>
      </w:r>
      <w:r>
        <w:rPr>
          <w:sz w:val="24"/>
        </w:rPr>
        <w:t xml:space="preserve"> you must sufficiently understand, realistically, where you are in order to proceed with such an ‘ambition or aspiration to realize </w:t>
      </w:r>
      <w:r w:rsidRPr="00DB3F26">
        <w:rPr>
          <w:i/>
          <w:sz w:val="24"/>
        </w:rPr>
        <w:t>x</w:t>
      </w:r>
      <w:r>
        <w:rPr>
          <w:sz w:val="24"/>
        </w:rPr>
        <w:t>’. Next, you need to know the object of your aspirational desire and, in effect. determine the ‘why’ of your question. In effect equating, or conflating, ‘what’ you seek with ‘why’. Then, in order to connect ‘where’ you are to (the ‘what’ you are striving after as) this ‘why’ you will also need to determine the ‘how’ you will get there. Hence this necessary, non-extreme, non-ideological mix of realism, idealism and pragmatism. Then, when all sequences are suitably enacted in keeping with the genre rules of that type of quest then such ambition or aspiration will be attained, arrived at, successfully appropriated. (884)</w:t>
      </w:r>
    </w:p>
    <w:p w14:paraId="44371C3E" w14:textId="77777777" w:rsidR="00EA3DAE" w:rsidRDefault="00EA3DAE" w:rsidP="00EA3DAE">
      <w:pPr>
        <w:keepNext/>
        <w:jc w:val="both"/>
        <w:outlineLvl w:val="3"/>
        <w:rPr>
          <w:sz w:val="24"/>
        </w:rPr>
      </w:pPr>
    </w:p>
    <w:p w14:paraId="11435D7A" w14:textId="77777777" w:rsidR="00EA3DAE" w:rsidRDefault="00EA3DAE" w:rsidP="00EA3DAE">
      <w:pPr>
        <w:keepNext/>
        <w:jc w:val="both"/>
        <w:outlineLvl w:val="3"/>
        <w:rPr>
          <w:sz w:val="24"/>
        </w:rPr>
      </w:pPr>
      <w:r>
        <w:rPr>
          <w:sz w:val="24"/>
        </w:rPr>
        <w:tab/>
        <w:t>To my mind, philosophy is no different. As a quest, enacted in a mix of theoretical, practical and critical terms of reference, the solutions and resolutions we aspire to realize all have to follow a similar aspirational economy and trajectory. (885)</w:t>
      </w:r>
    </w:p>
    <w:p w14:paraId="6065DAD3" w14:textId="77777777" w:rsidR="00EA3DAE" w:rsidRDefault="00EA3DAE" w:rsidP="00EA3DAE">
      <w:pPr>
        <w:keepNext/>
        <w:jc w:val="both"/>
        <w:outlineLvl w:val="3"/>
        <w:rPr>
          <w:sz w:val="24"/>
        </w:rPr>
      </w:pPr>
    </w:p>
    <w:p w14:paraId="3E88B1C3" w14:textId="77777777" w:rsidR="00EA3DAE" w:rsidRDefault="00EA3DAE" w:rsidP="00EA3DAE">
      <w:pPr>
        <w:keepNext/>
        <w:jc w:val="both"/>
        <w:outlineLvl w:val="3"/>
        <w:rPr>
          <w:sz w:val="24"/>
        </w:rPr>
      </w:pPr>
      <w:r>
        <w:rPr>
          <w:sz w:val="24"/>
        </w:rPr>
        <w:tab/>
        <w:t>How does such a non-extremist, non-ideologically oriented approach answer this question ‘where is Father Xmas?’ or, restated, how is ‘Father Xmas revisited?’ Metaphorically, treated as an ‘aspirational journey’, we know that this mythical entity has not lived, is not living and will never live on Earth (including his ‘being’ in his imaginary residence at the North Pole). Then, being a mythical character, we have to enter a mythical realm in our imagination, a relational sphere defined as mythical in its phenomenological characterization. So, to think about how we ‘encounter’ this character we merely have to enter this imaginary mythical sphere in order to mythically meet this ‘elderly, rotund, bearded male person dressed in a poorly fitting, over-sized red outfit supposedly preoccupied with the immense distribution of Xmas gifts; especially for gullible children hoping to be given something more than can fit in a single sock at the end of their bed or, preferably, placed under a Xmas tree…’ Indeed, a simulation not that much different from reading an engrossing novel that captures and fires our imagination. (886)</w:t>
      </w:r>
    </w:p>
    <w:p w14:paraId="1D1848E7" w14:textId="77777777" w:rsidR="00EA3DAE" w:rsidRDefault="00EA3DAE" w:rsidP="00EA3DAE">
      <w:pPr>
        <w:keepNext/>
        <w:jc w:val="both"/>
        <w:outlineLvl w:val="3"/>
        <w:rPr>
          <w:sz w:val="24"/>
        </w:rPr>
      </w:pPr>
    </w:p>
    <w:p w14:paraId="47B18F33" w14:textId="77777777" w:rsidR="00EA3DAE" w:rsidRDefault="00EA3DAE" w:rsidP="00EA3DAE">
      <w:pPr>
        <w:keepNext/>
        <w:jc w:val="both"/>
        <w:outlineLvl w:val="3"/>
        <w:rPr>
          <w:sz w:val="24"/>
        </w:rPr>
      </w:pPr>
      <w:r>
        <w:rPr>
          <w:sz w:val="24"/>
        </w:rPr>
        <w:tab/>
        <w:t>A mythical sphere is nothing much more than imagining a relational dimension in which a myth is simulated in mythical terms of reference. A journey is exactly those travels that begin from where we start, and, seeks to find itself where we seek to arrive at in the manner that is envisaged, hopefully, that gets us safely there (and back). E.g., if you wish to gain a university qualification,</w:t>
      </w:r>
      <w:r w:rsidRPr="007D27CC">
        <w:rPr>
          <w:sz w:val="24"/>
        </w:rPr>
        <w:t xml:space="preserve"> </w:t>
      </w:r>
      <w:r>
        <w:rPr>
          <w:sz w:val="24"/>
        </w:rPr>
        <w:t xml:space="preserve">in cashing out this metaphor of the journey, you need to go to school first; then be accepted, attend lectures and seminars, pass your exams and/or do whatever else </w:t>
      </w:r>
      <w:r>
        <w:rPr>
          <w:sz w:val="24"/>
        </w:rPr>
        <w:lastRenderedPageBreak/>
        <w:t>is required of you; hence the need to be diligent and study the relevant ‘technologies’ of this disciplinary field you have chosen in that regard. (887)</w:t>
      </w:r>
    </w:p>
    <w:p w14:paraId="01CF63BC" w14:textId="77777777" w:rsidR="00EA3DAE" w:rsidRDefault="00EA3DAE" w:rsidP="00EA3DAE">
      <w:pPr>
        <w:keepNext/>
        <w:jc w:val="both"/>
        <w:outlineLvl w:val="3"/>
        <w:rPr>
          <w:sz w:val="24"/>
        </w:rPr>
      </w:pPr>
    </w:p>
    <w:p w14:paraId="0C31CC5C" w14:textId="09D72814" w:rsidR="00EA3DAE" w:rsidRDefault="00EA3DAE" w:rsidP="00EA3DAE">
      <w:pPr>
        <w:keepNext/>
        <w:jc w:val="both"/>
        <w:outlineLvl w:val="3"/>
        <w:rPr>
          <w:sz w:val="24"/>
        </w:rPr>
      </w:pPr>
      <w:r>
        <w:rPr>
          <w:sz w:val="24"/>
        </w:rPr>
        <w:tab/>
        <w:t>How do we metaphorically and/or experientially enter a relational dimension?</w:t>
      </w:r>
      <w:r>
        <w:rPr>
          <w:rStyle w:val="FootnoteReference"/>
          <w:rFonts w:eastAsiaTheme="majorEastAsia"/>
          <w:sz w:val="24"/>
        </w:rPr>
        <w:footnoteReference w:id="5"/>
      </w:r>
      <w:r>
        <w:rPr>
          <w:sz w:val="24"/>
        </w:rPr>
        <w:t xml:space="preserve"> Through the invocation of a relevant (extended) suspension! ‘Where’ we are, ‘why’ we intend to head in a certain direction, and ‘how’ we are traveling all have to be collectively suspended. Otherwise, we would be either too over-preoccupied about ‘where’ we are or ‘why’ we are about to head in a certain direction or too over-concerned with the ‘how’ we are going to ‘travel’… and find ourselves, both consequently and subsequently, not getting anywhere very fast. A dynamic balance, and alignment, between these three </w:t>
      </w:r>
      <w:r w:rsidR="0045651F">
        <w:rPr>
          <w:sz w:val="24"/>
        </w:rPr>
        <w:t xml:space="preserve">(secular) </w:t>
      </w:r>
      <w:r>
        <w:rPr>
          <w:sz w:val="24"/>
        </w:rPr>
        <w:t>considerations, all things going to plan, may well then see us successfully realize that intentional objective of our current quest.</w:t>
      </w:r>
      <w:r w:rsidR="0045651F">
        <w:rPr>
          <w:rStyle w:val="FootnoteReference"/>
          <w:sz w:val="24"/>
        </w:rPr>
        <w:footnoteReference w:id="6"/>
      </w:r>
      <w:r>
        <w:rPr>
          <w:sz w:val="24"/>
        </w:rPr>
        <w:t xml:space="preserve"> (888)</w:t>
      </w:r>
    </w:p>
    <w:p w14:paraId="6D79AD94" w14:textId="77777777" w:rsidR="00EA3DAE" w:rsidRDefault="00EA3DAE" w:rsidP="00EA3DAE">
      <w:pPr>
        <w:keepNext/>
        <w:jc w:val="both"/>
        <w:outlineLvl w:val="3"/>
        <w:rPr>
          <w:sz w:val="24"/>
        </w:rPr>
      </w:pPr>
    </w:p>
    <w:p w14:paraId="7004F486" w14:textId="25866B1D" w:rsidR="00EA3DAE" w:rsidRDefault="00EA3DAE" w:rsidP="00EA3DAE">
      <w:pPr>
        <w:keepNext/>
        <w:jc w:val="both"/>
        <w:outlineLvl w:val="3"/>
        <w:rPr>
          <w:sz w:val="24"/>
        </w:rPr>
      </w:pPr>
      <w:r>
        <w:rPr>
          <w:sz w:val="24"/>
        </w:rPr>
        <w:tab/>
      </w:r>
      <w:r w:rsidRPr="00D14F95">
        <w:rPr>
          <w:b/>
          <w:bCs/>
          <w:sz w:val="24"/>
        </w:rPr>
        <w:t>But, in entering a relational dimension, how do we do so in an existential manner?</w:t>
      </w:r>
      <w:r>
        <w:rPr>
          <w:sz w:val="24"/>
        </w:rPr>
        <w:t xml:space="preserve"> By adopting and adapting a pro-relational attitude! And how is such an attitude fostered, best promoted, or, more correctly, better promoted? Through a suspension of that suspension, namely, its de-suspension; as a moment already entailed in this understanding of the (extended) suspension. The ongoing suspension progressively centers us in the phenomenological reality of that relational situation in question. Then, the de-suspension forces us back into this world as existentially re-centered, better re-directed, and, hopefully, enabled to realize and actualize the aspirational potential already re-centered in that existentially re-engaged semblance and simulation of its intentional objectivity. Where virtual enaction</w:t>
      </w:r>
      <w:r>
        <w:rPr>
          <w:rStyle w:val="FootnoteReference"/>
          <w:rFonts w:eastAsiaTheme="majorEastAsia"/>
          <w:sz w:val="24"/>
        </w:rPr>
        <w:footnoteReference w:id="7"/>
      </w:r>
      <w:r>
        <w:rPr>
          <w:sz w:val="24"/>
        </w:rPr>
        <w:t xml:space="preserve"> is transformed into non-virtual enaction along with the existential positivity of the transformational re-e/valuation of the parts and parties inhabiting that relationship in question.</w:t>
      </w:r>
      <w:r w:rsidR="001545A9">
        <w:rPr>
          <w:rStyle w:val="FootnoteReference"/>
          <w:sz w:val="24"/>
        </w:rPr>
        <w:footnoteReference w:id="8"/>
      </w:r>
      <w:r>
        <w:rPr>
          <w:sz w:val="24"/>
        </w:rPr>
        <w:t xml:space="preserve"> (889)</w:t>
      </w:r>
    </w:p>
    <w:p w14:paraId="0925ADA5" w14:textId="77777777" w:rsidR="00EA3DAE" w:rsidRDefault="00EA3DAE" w:rsidP="00EA3DAE">
      <w:pPr>
        <w:keepNext/>
        <w:jc w:val="both"/>
        <w:outlineLvl w:val="3"/>
        <w:rPr>
          <w:sz w:val="24"/>
        </w:rPr>
      </w:pPr>
    </w:p>
    <w:p w14:paraId="05835B40" w14:textId="77777777" w:rsidR="00EA3DAE" w:rsidRDefault="00EA3DAE" w:rsidP="00EA3DAE">
      <w:pPr>
        <w:keepNext/>
        <w:jc w:val="both"/>
        <w:outlineLvl w:val="3"/>
        <w:rPr>
          <w:sz w:val="24"/>
        </w:rPr>
      </w:pPr>
      <w:r>
        <w:rPr>
          <w:sz w:val="24"/>
        </w:rPr>
        <w:tab/>
        <w:t>A pro-relational attitude relatively privileges the relationship given that emergent ‘wholes’ are psychically greater than the sum of their parts. In this instance, what should be privileged should be privileged! On the other hand, what should not be privileged should not be privileged! Extremist positions render the economics of their relational presentation as impossible through such de-centering and through such undeserved forms of privilege. But in the relative privileging of our relationships, rather than the egos of ourselves and others, along with our addictions and obsessions, we collectively re-center ourselves directly in the lived-reality of ‘our’ current situatedness. Receptive to the ‘spirit’ of that relationship, as an ‘existential excess’ or a ‘surplus’ of value (in its valuational</w:t>
      </w:r>
      <w:r>
        <w:rPr>
          <w:rStyle w:val="FootnoteReference"/>
          <w:rFonts w:eastAsiaTheme="majorEastAsia"/>
          <w:sz w:val="24"/>
        </w:rPr>
        <w:footnoteReference w:id="9"/>
      </w:r>
      <w:r>
        <w:rPr>
          <w:sz w:val="24"/>
        </w:rPr>
        <w:t xml:space="preserve">) formation, we may well find ourselves ‘empowered’ to act on the behalf of our relationships through well-informed, existentially attuned patterns of enaction. Just as, e.g., an attentive mother will stop a baby crawling towards the fire burning on an open hearth. Or, just as, e.g., a school child might share their lunch with another pupil whom they see as a friend. Or, just as, e.g., a concerned passerby </w:t>
      </w:r>
      <w:r>
        <w:rPr>
          <w:sz w:val="24"/>
        </w:rPr>
        <w:lastRenderedPageBreak/>
        <w:t>will help an elderly person to stand up, if they can stand up, after they have slipped on an icy pavement, and so on. (890)</w:t>
      </w:r>
    </w:p>
    <w:p w14:paraId="1B506498" w14:textId="77777777" w:rsidR="00EA3DAE" w:rsidRDefault="00EA3DAE" w:rsidP="00EA3DAE">
      <w:pPr>
        <w:keepNext/>
        <w:jc w:val="both"/>
        <w:outlineLvl w:val="3"/>
        <w:rPr>
          <w:sz w:val="24"/>
        </w:rPr>
      </w:pPr>
    </w:p>
    <w:p w14:paraId="762FD37D" w14:textId="77777777" w:rsidR="00EA3DAE" w:rsidRDefault="00EA3DAE" w:rsidP="00EA3DAE">
      <w:pPr>
        <w:keepNext/>
        <w:jc w:val="both"/>
        <w:outlineLvl w:val="3"/>
        <w:rPr>
          <w:sz w:val="24"/>
        </w:rPr>
      </w:pPr>
      <w:r>
        <w:rPr>
          <w:sz w:val="24"/>
        </w:rPr>
        <w:tab/>
        <w:t>Now, ‘in visiting</w:t>
      </w:r>
      <w:r>
        <w:rPr>
          <w:rStyle w:val="FootnoteReference"/>
          <w:rFonts w:eastAsiaTheme="majorEastAsia"/>
          <w:sz w:val="24"/>
        </w:rPr>
        <w:footnoteReference w:id="10"/>
      </w:r>
      <w:r>
        <w:rPr>
          <w:sz w:val="24"/>
        </w:rPr>
        <w:t xml:space="preserve"> the mythical location of Father Xmas’ just what have we learnt, if anything, from this exposition on the recognition of the relational dimension and our existential ‘entry’ therein through the promotion of a pro-relational attitude? (891)</w:t>
      </w:r>
    </w:p>
    <w:p w14:paraId="23D14C10" w14:textId="77777777" w:rsidR="00EA3DAE" w:rsidRDefault="00EA3DAE" w:rsidP="00EA3DAE">
      <w:pPr>
        <w:keepNext/>
        <w:jc w:val="both"/>
        <w:outlineLvl w:val="3"/>
        <w:rPr>
          <w:sz w:val="24"/>
        </w:rPr>
      </w:pPr>
    </w:p>
    <w:p w14:paraId="2F5FB9C9" w14:textId="6B226475" w:rsidR="00EA3DAE" w:rsidRDefault="00EA3DAE" w:rsidP="00EA3DAE">
      <w:pPr>
        <w:jc w:val="both"/>
        <w:rPr>
          <w:sz w:val="24"/>
        </w:rPr>
      </w:pPr>
      <w:r>
        <w:rPr>
          <w:sz w:val="24"/>
        </w:rPr>
        <w:tab/>
        <w:t>That we can get nowhere through adopting the impossible economics of an extreme ideological attitude! That to make progress we need to observe a dynamic, economic balance between realist, idealist</w:t>
      </w:r>
      <w:r w:rsidR="002806CF">
        <w:rPr>
          <w:sz w:val="24"/>
        </w:rPr>
        <w:t>,</w:t>
      </w:r>
      <w:r>
        <w:rPr>
          <w:sz w:val="24"/>
        </w:rPr>
        <w:t xml:space="preserve"> and pragmatist orientations in positioning. In other words, observe a working suspension. That by invoking a suspension, in one form or another, we center ourselves in the phenomenological nature of that relationship in question. Moreover, in suspending that suspension (as envisaged in an ongoing, extended overall transcendental suspension</w:t>
      </w:r>
      <w:r>
        <w:rPr>
          <w:rStyle w:val="FootnoteReference"/>
          <w:rFonts w:eastAsiaTheme="majorEastAsia"/>
          <w:sz w:val="24"/>
        </w:rPr>
        <w:footnoteReference w:id="11"/>
      </w:r>
      <w:r>
        <w:rPr>
          <w:sz w:val="24"/>
        </w:rPr>
        <w:t>), effectively, we are taking a pro-relational attitude that is not obsessed with the mere desires of ourselves or the mere desires of others, but, a fostering of the better, or the relatively ‘best’, interests of that relationship itself to the mutual benefit of all parties who directly participate in that relationship.</w:t>
      </w:r>
      <w:r>
        <w:rPr>
          <w:rStyle w:val="FootnoteReference"/>
          <w:rFonts w:eastAsiaTheme="majorEastAsia"/>
          <w:sz w:val="24"/>
        </w:rPr>
        <w:footnoteReference w:id="12"/>
      </w:r>
      <w:r>
        <w:rPr>
          <w:sz w:val="24"/>
        </w:rPr>
        <w:t xml:space="preserve"> Indeed, if receptive to the needs of that relationship, we may well find ourselves ‘called upon’, empowered to existentially intervene in order to re-direct the trajectory of that relationship to the betterment of all parties concerned. That in our existentialization of the relatively non-existential in orientation</w:t>
      </w:r>
      <w:r>
        <w:rPr>
          <w:rStyle w:val="FootnoteReference"/>
          <w:rFonts w:eastAsiaTheme="majorEastAsia"/>
          <w:sz w:val="24"/>
        </w:rPr>
        <w:footnoteReference w:id="13"/>
      </w:r>
      <w:r>
        <w:rPr>
          <w:sz w:val="24"/>
        </w:rPr>
        <w:t xml:space="preserve"> we will experience this world as lived-and-shared anew, in a distinctly different light. Namely, in a spontaneity of living experience where we appear to transcend limits imposed through place and time, of self and other, and, harmonically experience an ongoing sense of resolution, resolve and resoluteness…!</w:t>
      </w:r>
      <w:r>
        <w:rPr>
          <w:rStyle w:val="FootnoteReference"/>
          <w:rFonts w:eastAsiaTheme="majorEastAsia"/>
          <w:sz w:val="24"/>
        </w:rPr>
        <w:footnoteReference w:id="14"/>
      </w:r>
      <w:r>
        <w:rPr>
          <w:sz w:val="24"/>
        </w:rPr>
        <w:t xml:space="preserve"> (892)</w:t>
      </w:r>
    </w:p>
    <w:p w14:paraId="066721CD" w14:textId="77777777" w:rsidR="00EA3DAE" w:rsidRDefault="00EA3DAE" w:rsidP="00EA3DAE">
      <w:pPr>
        <w:jc w:val="both"/>
      </w:pPr>
    </w:p>
    <w:p w14:paraId="3D88576A" w14:textId="77777777" w:rsidR="00EA3DAE" w:rsidRDefault="00EA3DAE" w:rsidP="00EA3DAE">
      <w:pPr>
        <w:jc w:val="both"/>
      </w:pPr>
    </w:p>
    <w:p w14:paraId="3BE0719D" w14:textId="77777777" w:rsidR="00EA3DAE" w:rsidRDefault="00EA3DAE">
      <w:pPr>
        <w:spacing w:after="160" w:line="259" w:lineRule="auto"/>
        <w:rPr>
          <w:b/>
          <w:u w:val="single"/>
        </w:rPr>
      </w:pPr>
      <w:r>
        <w:rPr>
          <w:b/>
          <w:u w:val="single"/>
        </w:rPr>
        <w:br w:type="page"/>
      </w:r>
    </w:p>
    <w:p w14:paraId="328E6236" w14:textId="0B46F2E2" w:rsidR="00EA3DAE" w:rsidRPr="00EA3DAE" w:rsidRDefault="00EA3DAE" w:rsidP="00EA3DAE">
      <w:pPr>
        <w:jc w:val="both"/>
        <w:rPr>
          <w:b/>
          <w:sz w:val="24"/>
          <w:szCs w:val="24"/>
          <w:u w:val="single"/>
        </w:rPr>
      </w:pPr>
      <w:r w:rsidRPr="00EA3DAE">
        <w:rPr>
          <w:b/>
          <w:sz w:val="24"/>
          <w:szCs w:val="24"/>
          <w:u w:val="single"/>
        </w:rPr>
        <w:lastRenderedPageBreak/>
        <w:t>Approximate Sketch of Arguments:</w:t>
      </w:r>
    </w:p>
    <w:p w14:paraId="1B5A9041" w14:textId="77777777" w:rsidR="00EA3DAE" w:rsidRPr="00EA3DAE" w:rsidRDefault="00EA3DAE" w:rsidP="00EA3DAE">
      <w:pPr>
        <w:jc w:val="both"/>
        <w:rPr>
          <w:sz w:val="24"/>
          <w:szCs w:val="24"/>
        </w:rPr>
      </w:pPr>
    </w:p>
    <w:p w14:paraId="7C5CD0E5" w14:textId="77777777" w:rsidR="00EA3DAE" w:rsidRPr="00EA3DAE" w:rsidRDefault="00EA3DAE" w:rsidP="00EA3DAE">
      <w:pPr>
        <w:jc w:val="both"/>
        <w:rPr>
          <w:sz w:val="24"/>
          <w:szCs w:val="24"/>
        </w:rPr>
      </w:pPr>
      <w:r w:rsidRPr="00EA3DAE">
        <w:rPr>
          <w:sz w:val="24"/>
          <w:szCs w:val="24"/>
        </w:rPr>
        <w:t xml:space="preserve">Brief: </w:t>
      </w:r>
    </w:p>
    <w:p w14:paraId="0FC6E5BE" w14:textId="585A2575" w:rsidR="00EA3DAE" w:rsidRPr="00EA3DAE" w:rsidRDefault="00EA3DAE" w:rsidP="00EA3DAE">
      <w:pPr>
        <w:jc w:val="both"/>
        <w:rPr>
          <w:sz w:val="24"/>
          <w:szCs w:val="24"/>
        </w:rPr>
      </w:pPr>
      <w:r w:rsidRPr="00EA3DAE">
        <w:rPr>
          <w:sz w:val="24"/>
          <w:szCs w:val="24"/>
        </w:rPr>
        <w:t>Over-committed realists, idealists</w:t>
      </w:r>
      <w:r w:rsidR="002806CF">
        <w:rPr>
          <w:sz w:val="24"/>
          <w:szCs w:val="24"/>
        </w:rPr>
        <w:t>,</w:t>
      </w:r>
      <w:r w:rsidRPr="00EA3DAE">
        <w:rPr>
          <w:sz w:val="24"/>
          <w:szCs w:val="24"/>
        </w:rPr>
        <w:t xml:space="preserve"> and pragmatists cannot ‘locate’ a mythical Father Xmas.</w:t>
      </w:r>
    </w:p>
    <w:p w14:paraId="5C6869F0" w14:textId="2C7376A2" w:rsidR="00EA3DAE" w:rsidRPr="00EA3DAE" w:rsidRDefault="00EA3DAE" w:rsidP="00EA3DAE">
      <w:pPr>
        <w:jc w:val="both"/>
        <w:rPr>
          <w:sz w:val="24"/>
          <w:szCs w:val="24"/>
        </w:rPr>
      </w:pPr>
      <w:r w:rsidRPr="00EA3DAE">
        <w:rPr>
          <w:sz w:val="24"/>
          <w:szCs w:val="24"/>
        </w:rPr>
        <w:t>Need a relational dimension.</w:t>
      </w:r>
      <w:r w:rsidRPr="00EA3DAE">
        <w:rPr>
          <w:rStyle w:val="FootnoteReference"/>
          <w:sz w:val="24"/>
          <w:szCs w:val="24"/>
        </w:rPr>
        <w:footnoteReference w:id="15"/>
      </w:r>
    </w:p>
    <w:p w14:paraId="2CB4F3B5" w14:textId="77777777" w:rsidR="00EA3DAE" w:rsidRPr="00EA3DAE" w:rsidRDefault="00EA3DAE" w:rsidP="00EA3DAE">
      <w:pPr>
        <w:jc w:val="both"/>
        <w:rPr>
          <w:sz w:val="24"/>
          <w:szCs w:val="24"/>
        </w:rPr>
      </w:pPr>
      <w:r w:rsidRPr="00EA3DAE">
        <w:rPr>
          <w:sz w:val="24"/>
          <w:szCs w:val="24"/>
        </w:rPr>
        <w:t>Aspirations (= private ambitions/social aspirations) cooperation needed between realists, idealists, pragmatists.</w:t>
      </w:r>
    </w:p>
    <w:p w14:paraId="34F6203A" w14:textId="77777777" w:rsidR="00EA3DAE" w:rsidRPr="00EA3DAE" w:rsidRDefault="00EA3DAE" w:rsidP="00EA3DAE">
      <w:pPr>
        <w:jc w:val="both"/>
        <w:rPr>
          <w:sz w:val="24"/>
          <w:szCs w:val="24"/>
        </w:rPr>
      </w:pPr>
      <w:r w:rsidRPr="00EA3DAE">
        <w:rPr>
          <w:sz w:val="24"/>
          <w:szCs w:val="24"/>
        </w:rPr>
        <w:t>A pro-relational attitude heads us in an existential direction.</w:t>
      </w:r>
    </w:p>
    <w:p w14:paraId="613F10C2" w14:textId="77777777" w:rsidR="00EA3DAE" w:rsidRPr="00EA3DAE" w:rsidRDefault="00EA3DAE" w:rsidP="00EA3DAE">
      <w:pPr>
        <w:jc w:val="both"/>
        <w:rPr>
          <w:sz w:val="24"/>
          <w:szCs w:val="24"/>
        </w:rPr>
      </w:pPr>
      <w:r w:rsidRPr="00EA3DAE">
        <w:rPr>
          <w:sz w:val="24"/>
          <w:szCs w:val="24"/>
        </w:rPr>
        <w:t>This relational dimension as the source of all value (valuational formation)</w:t>
      </w:r>
    </w:p>
    <w:p w14:paraId="4B72CB73" w14:textId="77777777" w:rsidR="00EA3DAE" w:rsidRPr="00EA3DAE" w:rsidRDefault="00EA3DAE" w:rsidP="00EA3DAE">
      <w:pPr>
        <w:jc w:val="both"/>
        <w:rPr>
          <w:sz w:val="24"/>
          <w:szCs w:val="24"/>
        </w:rPr>
      </w:pPr>
    </w:p>
    <w:p w14:paraId="0DF3E6FA" w14:textId="77777777" w:rsidR="00EA3DAE" w:rsidRPr="00EA3DAE" w:rsidRDefault="00EA3DAE" w:rsidP="00EA3DAE">
      <w:pPr>
        <w:jc w:val="both"/>
        <w:rPr>
          <w:sz w:val="24"/>
          <w:szCs w:val="24"/>
        </w:rPr>
      </w:pPr>
      <w:r w:rsidRPr="00EA3DAE">
        <w:rPr>
          <w:sz w:val="24"/>
          <w:szCs w:val="24"/>
        </w:rPr>
        <w:t>Contra-Realism: Absence cannot account for the non-existence of Father Xmas.</w:t>
      </w:r>
    </w:p>
    <w:p w14:paraId="60F0C362" w14:textId="77777777" w:rsidR="00EA3DAE" w:rsidRPr="00EA3DAE" w:rsidRDefault="00EA3DAE" w:rsidP="00EA3DAE">
      <w:pPr>
        <w:jc w:val="both"/>
        <w:rPr>
          <w:sz w:val="24"/>
          <w:szCs w:val="24"/>
        </w:rPr>
      </w:pPr>
      <w:r w:rsidRPr="00EA3DAE">
        <w:rPr>
          <w:sz w:val="24"/>
          <w:szCs w:val="24"/>
        </w:rPr>
        <w:t>Contra-Idealism: Cannot differentiate one father from all other fathers, no material reference.</w:t>
      </w:r>
    </w:p>
    <w:p w14:paraId="0F847A25" w14:textId="77777777" w:rsidR="00EA3DAE" w:rsidRPr="00EA3DAE" w:rsidRDefault="00EA3DAE" w:rsidP="00EA3DAE">
      <w:pPr>
        <w:jc w:val="both"/>
        <w:rPr>
          <w:sz w:val="24"/>
          <w:szCs w:val="24"/>
        </w:rPr>
      </w:pPr>
      <w:r w:rsidRPr="00EA3DAE">
        <w:rPr>
          <w:sz w:val="24"/>
          <w:szCs w:val="24"/>
        </w:rPr>
        <w:t>Contra-Pragmatists: Continual deference cannot capture a mythical Father Xmas, or anything else.</w:t>
      </w:r>
    </w:p>
    <w:p w14:paraId="684E945D" w14:textId="77777777" w:rsidR="00EA3DAE" w:rsidRPr="00EA3DAE" w:rsidRDefault="00EA3DAE" w:rsidP="00EA3DAE">
      <w:pPr>
        <w:jc w:val="both"/>
        <w:rPr>
          <w:sz w:val="24"/>
          <w:szCs w:val="24"/>
        </w:rPr>
      </w:pPr>
    </w:p>
    <w:p w14:paraId="299E9318" w14:textId="77777777" w:rsidR="00EA3DAE" w:rsidRPr="00EA3DAE" w:rsidRDefault="00EA3DAE" w:rsidP="00EA3DAE">
      <w:pPr>
        <w:jc w:val="both"/>
        <w:rPr>
          <w:sz w:val="24"/>
          <w:szCs w:val="24"/>
        </w:rPr>
      </w:pPr>
      <w:r w:rsidRPr="00EA3DAE">
        <w:rPr>
          <w:sz w:val="24"/>
          <w:szCs w:val="24"/>
        </w:rPr>
        <w:t>Note economic philosophy; and aspirational economy (and also note its triplicated form at each economic node).</w:t>
      </w:r>
    </w:p>
    <w:p w14:paraId="437DDB5B" w14:textId="77777777" w:rsidR="00EA3DAE" w:rsidRPr="00EA3DAE" w:rsidRDefault="00EA3DAE" w:rsidP="00EA3DAE">
      <w:pPr>
        <w:jc w:val="both"/>
        <w:rPr>
          <w:sz w:val="24"/>
          <w:szCs w:val="24"/>
        </w:rPr>
      </w:pPr>
      <w:r w:rsidRPr="00EA3DAE">
        <w:rPr>
          <w:sz w:val="24"/>
          <w:szCs w:val="24"/>
        </w:rPr>
        <w:t>Relational Dimension. Extremism as economically impossible… ideological distortion.</w:t>
      </w:r>
    </w:p>
    <w:p w14:paraId="4E551184" w14:textId="77777777" w:rsidR="00EA3DAE" w:rsidRPr="00EA3DAE" w:rsidRDefault="00EA3DAE" w:rsidP="00EA3DAE">
      <w:pPr>
        <w:jc w:val="both"/>
        <w:rPr>
          <w:sz w:val="24"/>
          <w:szCs w:val="24"/>
        </w:rPr>
      </w:pPr>
      <w:r w:rsidRPr="00EA3DAE">
        <w:rPr>
          <w:sz w:val="24"/>
          <w:szCs w:val="24"/>
        </w:rPr>
        <w:t>Pro-relational attitude… existential dimension. An existential interventionalism.</w:t>
      </w:r>
    </w:p>
    <w:p w14:paraId="308DDE87" w14:textId="77777777" w:rsidR="00EA3DAE" w:rsidRPr="00EA3DAE" w:rsidRDefault="00EA3DAE" w:rsidP="00EA3DAE">
      <w:pPr>
        <w:jc w:val="both"/>
        <w:rPr>
          <w:sz w:val="24"/>
          <w:szCs w:val="24"/>
        </w:rPr>
      </w:pPr>
      <w:r w:rsidRPr="00EA3DAE">
        <w:rPr>
          <w:sz w:val="24"/>
          <w:szCs w:val="24"/>
        </w:rPr>
        <w:t>Transcendental reservation… where existentially we intervene on behalf of our relationships.</w:t>
      </w:r>
    </w:p>
    <w:p w14:paraId="4D9EB842" w14:textId="77777777" w:rsidR="00EA3DAE" w:rsidRPr="00EA3DAE" w:rsidRDefault="00EA3DAE" w:rsidP="00EA3DAE">
      <w:pPr>
        <w:jc w:val="both"/>
        <w:rPr>
          <w:sz w:val="24"/>
          <w:szCs w:val="24"/>
        </w:rPr>
      </w:pPr>
    </w:p>
    <w:p w14:paraId="5D0FA64C" w14:textId="77777777" w:rsidR="00EA3DAE" w:rsidRPr="00EA3DAE" w:rsidRDefault="00EA3DAE" w:rsidP="00EA3DAE">
      <w:pPr>
        <w:jc w:val="both"/>
        <w:rPr>
          <w:sz w:val="24"/>
          <w:szCs w:val="24"/>
        </w:rPr>
      </w:pPr>
      <w:r w:rsidRPr="00EA3DAE">
        <w:rPr>
          <w:sz w:val="24"/>
          <w:szCs w:val="24"/>
        </w:rPr>
        <w:t>Need to relatively privilege our relationships because they are psychically greater than the mere sum of their parts and parties. Hence recognition of a relational surplus as an existential surplus in valuational formation.</w:t>
      </w:r>
    </w:p>
    <w:p w14:paraId="3C6BA825" w14:textId="77777777" w:rsidR="00EA3DAE" w:rsidRPr="00EA3DAE" w:rsidRDefault="00EA3DAE" w:rsidP="00EA3DAE">
      <w:pPr>
        <w:jc w:val="both"/>
        <w:rPr>
          <w:sz w:val="24"/>
          <w:szCs w:val="24"/>
        </w:rPr>
      </w:pPr>
      <w:r w:rsidRPr="00EA3DAE">
        <w:rPr>
          <w:sz w:val="24"/>
          <w:szCs w:val="24"/>
        </w:rPr>
        <w:t>Hence this existential dimension… source of all valuational formation (note: just as staring at a person or object will not reveal its apparent value-for-us! Judgments as relational and trans-intentional/cognitive). N, 15.6.20.</w:t>
      </w:r>
    </w:p>
    <w:p w14:paraId="091E7AEC" w14:textId="77777777" w:rsidR="00EA3DAE" w:rsidRPr="00EA3DAE" w:rsidRDefault="00EA3DAE" w:rsidP="00EA3DAE">
      <w:pPr>
        <w:jc w:val="both"/>
        <w:rPr>
          <w:sz w:val="24"/>
          <w:szCs w:val="24"/>
        </w:rPr>
      </w:pPr>
    </w:p>
    <w:p w14:paraId="715E5D4A" w14:textId="77777777" w:rsidR="00EA3DAE" w:rsidRPr="00B979CF" w:rsidRDefault="00EA3DAE" w:rsidP="00EA3DAE">
      <w:pPr>
        <w:keepNext/>
        <w:jc w:val="both"/>
        <w:outlineLvl w:val="3"/>
        <w:rPr>
          <w:b/>
          <w:sz w:val="24"/>
          <w:u w:val="single"/>
        </w:rPr>
      </w:pPr>
      <w:r>
        <w:br w:type="page"/>
      </w:r>
      <w:r w:rsidRPr="00B979CF">
        <w:rPr>
          <w:b/>
          <w:sz w:val="24"/>
          <w:u w:val="single"/>
        </w:rPr>
        <w:lastRenderedPageBreak/>
        <w:t>A Set of Comments on ‘Father Xmas Revisited: Where is Father Xmas?’</w:t>
      </w:r>
    </w:p>
    <w:p w14:paraId="4C2DCA81" w14:textId="77777777" w:rsidR="00EA3DAE" w:rsidRDefault="00EA3DAE" w:rsidP="00EA3DAE">
      <w:pPr>
        <w:keepNext/>
        <w:jc w:val="both"/>
        <w:outlineLvl w:val="3"/>
        <w:rPr>
          <w:sz w:val="24"/>
        </w:rPr>
      </w:pPr>
    </w:p>
    <w:p w14:paraId="13BEA2FD" w14:textId="77777777" w:rsidR="00EA3DAE" w:rsidRDefault="00EA3DAE" w:rsidP="00EA3DAE">
      <w:pPr>
        <w:keepNext/>
        <w:jc w:val="both"/>
        <w:outlineLvl w:val="3"/>
        <w:rPr>
          <w:sz w:val="24"/>
        </w:rPr>
      </w:pPr>
      <w:r>
        <w:rPr>
          <w:sz w:val="24"/>
        </w:rPr>
        <w:tab/>
      </w:r>
      <w:r w:rsidRPr="001D34F1">
        <w:rPr>
          <w:i/>
          <w:iCs/>
          <w:sz w:val="24"/>
        </w:rPr>
        <w:t>Father Xmas is Revisited</w:t>
      </w:r>
      <w:r>
        <w:rPr>
          <w:sz w:val="24"/>
        </w:rPr>
        <w:t xml:space="preserve"> is revisited in a number of senses. My arguments in this essay were scattered in this second volume in this series titled </w:t>
      </w:r>
      <w:r w:rsidRPr="001D34F1">
        <w:rPr>
          <w:i/>
          <w:iCs/>
          <w:sz w:val="24"/>
        </w:rPr>
        <w:t>The Pursuit of Philosophy as a Discipline</w:t>
      </w:r>
      <w:r>
        <w:rPr>
          <w:sz w:val="24"/>
        </w:rPr>
        <w:t xml:space="preserve"> and so they have been collected and restated over the next six pages in order to form the following presentational paper. This second volume is titled </w:t>
      </w:r>
      <w:r w:rsidRPr="001D34F1">
        <w:rPr>
          <w:i/>
          <w:iCs/>
          <w:sz w:val="24"/>
        </w:rPr>
        <w:t>The Practicalities of Philosophy as</w:t>
      </w:r>
      <w:r>
        <w:rPr>
          <w:i/>
          <w:iCs/>
          <w:sz w:val="24"/>
        </w:rPr>
        <w:t xml:space="preserve"> a</w:t>
      </w:r>
      <w:r w:rsidRPr="001D34F1">
        <w:rPr>
          <w:i/>
          <w:iCs/>
          <w:sz w:val="24"/>
        </w:rPr>
        <w:t xml:space="preserve"> Discipline</w:t>
      </w:r>
      <w:r>
        <w:rPr>
          <w:sz w:val="24"/>
        </w:rPr>
        <w:t>. My ambition is to turn around the discipline of philosophy from being merely a theoretical and critical discipline to something with a practical use, namely, as a useful map or guide for how we should live our lives ‘with-others’, and hopefully, have others live their lives ‘before-us’. How we should, together, live with-others in an existential atunement or at-onement with our relationships. Thence the promotion of this existential dimension which, I will argue, is approached through adopting and adapting a pro-relational attitude towards our relational embeddedness with others in such a manner that we are existentially ‘with-others’ rather than merely being ‘with others’… This latter sense being found in our being more mindful of our own senses of self through a relational lack of ‘care and concern’ for our relationships, in our merely ‘being there’ rather than ‘being-there’ before-others (and, hence, this existential distinction is being signaled by the special use of this hyphen). (0)</w:t>
      </w:r>
    </w:p>
    <w:p w14:paraId="137F7B83" w14:textId="77777777" w:rsidR="00EA3DAE" w:rsidRDefault="00EA3DAE" w:rsidP="00EA3DAE">
      <w:pPr>
        <w:keepNext/>
        <w:jc w:val="both"/>
        <w:outlineLvl w:val="3"/>
        <w:rPr>
          <w:sz w:val="24"/>
        </w:rPr>
      </w:pPr>
    </w:p>
    <w:p w14:paraId="1CB1FB87" w14:textId="77777777" w:rsidR="00EA3DAE" w:rsidRDefault="00EA3DAE" w:rsidP="00EA3DAE">
      <w:pPr>
        <w:keepNext/>
        <w:jc w:val="both"/>
        <w:outlineLvl w:val="3"/>
        <w:rPr>
          <w:sz w:val="24"/>
        </w:rPr>
      </w:pPr>
      <w:r>
        <w:rPr>
          <w:sz w:val="24"/>
        </w:rPr>
        <w:tab/>
        <w:t>A second sense of ‘revisited’ is that both adults and children, once the latter are no longer fooled by adults, can together refer to Father Xmas despite such a mythical character having no factual existence. Quite simply, they refer to this mythical character knowing full well that, despite such referrals, he has no factual existence (other than being factually found as ‘a mythical character in certain cultures’). However, I hope to show soon that over-committed philosophers, and by extension all such ideologues, are unable to make such a simple referral in the limited, non-coherent, and short-sighted terms of their own impossible philosophies. (1)</w:t>
      </w:r>
    </w:p>
    <w:p w14:paraId="730B2097" w14:textId="77777777" w:rsidR="00EA3DAE" w:rsidRDefault="00EA3DAE" w:rsidP="00EA3DAE">
      <w:pPr>
        <w:keepNext/>
        <w:jc w:val="both"/>
        <w:outlineLvl w:val="3"/>
        <w:rPr>
          <w:sz w:val="24"/>
        </w:rPr>
      </w:pPr>
    </w:p>
    <w:p w14:paraId="0CEE23B0" w14:textId="77777777" w:rsidR="00EA3DAE" w:rsidRDefault="00EA3DAE" w:rsidP="00EA3DAE">
      <w:pPr>
        <w:keepNext/>
        <w:jc w:val="both"/>
        <w:outlineLvl w:val="3"/>
        <w:rPr>
          <w:sz w:val="24"/>
        </w:rPr>
      </w:pPr>
      <w:r>
        <w:rPr>
          <w:sz w:val="24"/>
        </w:rPr>
        <w:tab/>
        <w:t>I must admit here, in the title, to having made an ‘in-joke’. Translate ‘Where is Father Xmas?’ into French and you get ‘</w:t>
      </w:r>
      <w:r w:rsidRPr="00F54F57">
        <w:rPr>
          <w:i/>
          <w:iCs/>
          <w:sz w:val="24"/>
        </w:rPr>
        <w:t>Où est Papa Noël</w:t>
      </w:r>
      <w:r>
        <w:rPr>
          <w:sz w:val="24"/>
        </w:rPr>
        <w:t>?’ Well, I am here… presenting this paper and its commentary. I have a certain ‘existential description’ or ‘history’ that has me ‘born in New Zealand and spending the second half of my life in Australia, etc.’ In determining factual aspects of this history, as a ‘set of existential descriptions’, it is obviously impossible to itemize, let alone formulate, all possible facts. Then, some statements might need to be modified whilst others supplied could be quite wrong, even, sometimes, when supplied by myself. Hence it is safer to treat this ‘existential descriptor’ as an open ‘indexical’, namely, as a ‘transcendental subject’ or ‘person’ with a certain unique history that can belong to no one else. But, this ability to locate the history of this person is in stark contrast with ‘the fabricated history’ of a mythical person like ‘Father Xmas’. (2)</w:t>
      </w:r>
    </w:p>
    <w:p w14:paraId="26DBE0E5" w14:textId="77777777" w:rsidR="00EA3DAE" w:rsidRDefault="00EA3DAE" w:rsidP="00EA3DAE">
      <w:pPr>
        <w:keepNext/>
        <w:jc w:val="both"/>
        <w:outlineLvl w:val="3"/>
        <w:rPr>
          <w:sz w:val="24"/>
        </w:rPr>
      </w:pPr>
    </w:p>
    <w:p w14:paraId="5C4F6F61" w14:textId="48442355" w:rsidR="00EA3DAE" w:rsidRDefault="00EA3DAE" w:rsidP="00EA3DAE">
      <w:pPr>
        <w:keepNext/>
        <w:jc w:val="both"/>
        <w:outlineLvl w:val="3"/>
        <w:rPr>
          <w:sz w:val="24"/>
        </w:rPr>
      </w:pPr>
      <w:r>
        <w:rPr>
          <w:sz w:val="24"/>
        </w:rPr>
        <w:tab/>
        <w:t>The first four paragraphs of this paper present the ‘brief’ or apparent intentions of the author, namely, myself.</w:t>
      </w:r>
      <w:r>
        <w:rPr>
          <w:rStyle w:val="FootnoteReference"/>
          <w:rFonts w:eastAsiaTheme="majorEastAsia"/>
          <w:sz w:val="24"/>
        </w:rPr>
        <w:footnoteReference w:id="16"/>
      </w:r>
      <w:r>
        <w:rPr>
          <w:sz w:val="24"/>
        </w:rPr>
        <w:t xml:space="preserve"> When looked at closely we can see how ironic or misrepresentative the titles of this essay are. At the end of the day</w:t>
      </w:r>
      <w:r w:rsidR="002806CF">
        <w:rPr>
          <w:sz w:val="24"/>
        </w:rPr>
        <w:t>,</w:t>
      </w:r>
      <w:r>
        <w:rPr>
          <w:sz w:val="24"/>
        </w:rPr>
        <w:t xml:space="preserve"> I am not concerned where Father Xmas is. Indeed, I have ‘other fish to fry!’ Moreover, I am not really interested in deconstructing over-committed instances of realism, idealism and pragmatism, but, use their short-comings to indicate the necessary existence of a relational sphere of existence. Then, even this objective is eclipsed by my intention to indicate, through argument, that there exists an existential dimension to this relational sphere that is all too often overlooked and not seriously taken into </w:t>
      </w:r>
      <w:r>
        <w:rPr>
          <w:sz w:val="24"/>
        </w:rPr>
        <w:lastRenderedPageBreak/>
        <w:t xml:space="preserve">account in our dealings with others, in our existential being ‘with-others’ (embeddedness), the environment of this world at large (embankment), </w:t>
      </w:r>
      <w:r w:rsidR="00874AEA">
        <w:rPr>
          <w:sz w:val="24"/>
        </w:rPr>
        <w:t xml:space="preserve">and ourselves as </w:t>
      </w:r>
      <w:r>
        <w:rPr>
          <w:sz w:val="24"/>
        </w:rPr>
        <w:t>embodiment, etc! (3)</w:t>
      </w:r>
    </w:p>
    <w:p w14:paraId="6E70D34C" w14:textId="77777777" w:rsidR="00EA3DAE" w:rsidRDefault="00EA3DAE" w:rsidP="00EA3DAE">
      <w:pPr>
        <w:keepNext/>
        <w:jc w:val="both"/>
        <w:outlineLvl w:val="3"/>
        <w:rPr>
          <w:sz w:val="24"/>
        </w:rPr>
      </w:pPr>
    </w:p>
    <w:p w14:paraId="7966FC7F" w14:textId="77777777" w:rsidR="00EA3DAE" w:rsidRDefault="00EA3DAE" w:rsidP="00EA3DAE">
      <w:pPr>
        <w:keepNext/>
        <w:jc w:val="both"/>
        <w:outlineLvl w:val="3"/>
        <w:rPr>
          <w:sz w:val="24"/>
        </w:rPr>
      </w:pPr>
      <w:r>
        <w:rPr>
          <w:sz w:val="24"/>
        </w:rPr>
        <w:tab/>
        <w:t>Now, I am going to assume that everyone has read this short essay a number of times and basically has a good grasp of the arguments entailed therein. However, I will need to re-outline certain arguments in order to explicate what may not be so obvious given that my intentions at this stage, admittedly, as admitted, are somewhat rather covert. (4)</w:t>
      </w:r>
    </w:p>
    <w:p w14:paraId="7EF197EF" w14:textId="77777777" w:rsidR="00EA3DAE" w:rsidRDefault="00EA3DAE" w:rsidP="00EA3DAE">
      <w:pPr>
        <w:keepNext/>
        <w:jc w:val="both"/>
        <w:outlineLvl w:val="3"/>
        <w:rPr>
          <w:sz w:val="24"/>
        </w:rPr>
      </w:pPr>
    </w:p>
    <w:p w14:paraId="6925FAE1" w14:textId="7F77C708" w:rsidR="00EA3DAE" w:rsidRDefault="00EA3DAE" w:rsidP="00874AEA">
      <w:pPr>
        <w:keepNext/>
        <w:jc w:val="both"/>
        <w:outlineLvl w:val="3"/>
        <w:rPr>
          <w:sz w:val="24"/>
        </w:rPr>
      </w:pPr>
      <w:r>
        <w:rPr>
          <w:sz w:val="24"/>
        </w:rPr>
        <w:tab/>
        <w:t>Now, I am also the first to admit that these characterizations of the realist, etc., are more potted caricatures. Basically, the arguments there are to be seen as if they were metaphors, analogies, or indications how that type of ideology in question should be deconstructed, rendered unable to promulgate the defective type of philosophy they wish to disseminate. A philosopher is meant to be a useful disciplinarian and would be useless if they were unsuitably promoting an impossible philosophy about the ways and wiles of a world that can be neither encountered, recognized nor engaged.</w:t>
      </w:r>
      <w:r>
        <w:rPr>
          <w:rStyle w:val="FootnoteReference"/>
          <w:rFonts w:eastAsiaTheme="majorEastAsia"/>
          <w:sz w:val="24"/>
        </w:rPr>
        <w:footnoteReference w:id="17"/>
      </w:r>
      <w:r>
        <w:rPr>
          <w:sz w:val="24"/>
        </w:rPr>
        <w:t xml:space="preserve"> How could they better map out this world for us, for-us, if they cannot even make an exit from their sense of an impossible world, following a path that would be impossible to actually contemplate?! (5)</w:t>
      </w:r>
    </w:p>
    <w:p w14:paraId="71166CCA" w14:textId="77777777" w:rsidR="00EA3DAE" w:rsidRDefault="00EA3DAE" w:rsidP="00EA3DAE">
      <w:pPr>
        <w:keepNext/>
        <w:jc w:val="both"/>
        <w:outlineLvl w:val="3"/>
        <w:rPr>
          <w:sz w:val="24"/>
        </w:rPr>
      </w:pPr>
    </w:p>
    <w:p w14:paraId="04588689" w14:textId="0736A059" w:rsidR="00EA3DAE" w:rsidRDefault="00EA3DAE" w:rsidP="00EA3DAE">
      <w:pPr>
        <w:keepNext/>
        <w:jc w:val="both"/>
        <w:outlineLvl w:val="3"/>
        <w:rPr>
          <w:sz w:val="24"/>
        </w:rPr>
      </w:pPr>
      <w:r>
        <w:rPr>
          <w:sz w:val="24"/>
        </w:rPr>
        <w:tab/>
        <w:t>Such short-sighted extremists, or ‘ideologues’, are people who in grabbing one end of a stick, or the middle of that stick, think that stick is just that end, or, the middle section of that stick. All sticks have two ends and middle section. Chop a stick in half, and the same applies. Do the same again, and the same still applies, and so on… The moral being that intentionality is not to be treated as if it were one end of a stick or just the middle section of that stick, i.e., that the intentional process is more an ‘economy’, a circulation of value, that cannot be merely reduced to either unimodal or bimodal terms of reference; just as to think the concept of a ‘stick’, and to imagine the same, we have to contemplate altogether those two ends and their interconnection through a middle section that joins those two ends. That no intentional process is just the intentional objective or the intentional motivation involved nor can it escape an associated sense of transcendental subjectivity. That to over-concentrate our philosophical interest on only one or two of those dialectical poles or moments, correctly, is just</w:t>
      </w:r>
      <w:r w:rsidR="00874AEA">
        <w:rPr>
          <w:sz w:val="24"/>
        </w:rPr>
        <w:t xml:space="preserve"> not economically</w:t>
      </w:r>
      <w:r>
        <w:rPr>
          <w:sz w:val="24"/>
        </w:rPr>
        <w:t xml:space="preserve"> possible! (6)</w:t>
      </w:r>
    </w:p>
    <w:p w14:paraId="532DE0B4" w14:textId="77777777" w:rsidR="00EA3DAE" w:rsidRDefault="00EA3DAE" w:rsidP="00EA3DAE">
      <w:pPr>
        <w:keepNext/>
        <w:jc w:val="both"/>
        <w:outlineLvl w:val="3"/>
        <w:rPr>
          <w:sz w:val="24"/>
        </w:rPr>
      </w:pPr>
    </w:p>
    <w:p w14:paraId="2212364E" w14:textId="77777777" w:rsidR="00EA3DAE" w:rsidRDefault="00EA3DAE" w:rsidP="00EA3DAE">
      <w:pPr>
        <w:keepNext/>
        <w:jc w:val="both"/>
        <w:outlineLvl w:val="3"/>
        <w:rPr>
          <w:sz w:val="24"/>
        </w:rPr>
      </w:pPr>
      <w:r>
        <w:rPr>
          <w:sz w:val="24"/>
        </w:rPr>
        <w:tab/>
        <w:t>‘Realists’ are here treated as ‘</w:t>
      </w:r>
      <w:r w:rsidRPr="00904B0F">
        <w:rPr>
          <w:i/>
          <w:iCs/>
          <w:sz w:val="24"/>
        </w:rPr>
        <w:t xml:space="preserve">de facto </w:t>
      </w:r>
      <w:r>
        <w:rPr>
          <w:sz w:val="24"/>
        </w:rPr>
        <w:t>materialists, over-preoccupied empiricists or similar’. In effect, concentrating entirely on the province of the intentional object(ive). Consequently, they can only focus on material presence or absence defined in spatio-temporal terms of reference. A bowl once filled with apples would allow the realist to refer to those apples as now ‘absent’. But, Father Xmas can be never be treated as ‘absent’ since he was never ‘present’ in the first place. How else could such a misguided philosopher refer to this mythical character? So, they might wish to reply that ‘Father Xmas ‘lives’ at the North Pole’. Really, at what time was he present in that location, and so on? Obviously, in such limited terms of reference, they cannot even refer to this mythical character as ‘mythical’. (7)</w:t>
      </w:r>
    </w:p>
    <w:p w14:paraId="2FBA0ACE" w14:textId="77777777" w:rsidR="00EA3DAE" w:rsidRDefault="00EA3DAE" w:rsidP="00EA3DAE">
      <w:pPr>
        <w:keepNext/>
        <w:jc w:val="both"/>
        <w:outlineLvl w:val="3"/>
        <w:rPr>
          <w:sz w:val="24"/>
        </w:rPr>
      </w:pPr>
    </w:p>
    <w:p w14:paraId="0F3D4AB8" w14:textId="77777777" w:rsidR="00EA3DAE" w:rsidRDefault="00EA3DAE" w:rsidP="00EA3DAE">
      <w:pPr>
        <w:keepNext/>
        <w:jc w:val="both"/>
        <w:outlineLvl w:val="3"/>
        <w:rPr>
          <w:sz w:val="24"/>
        </w:rPr>
      </w:pPr>
      <w:r>
        <w:rPr>
          <w:sz w:val="24"/>
        </w:rPr>
        <w:tab/>
        <w:t xml:space="preserve">Idealists are in a different boat, one that is equally sinking when closely looked at philosophically. In just continually reviewing intentional experience, etc., how could they differentiate ‘one father’ from ‘any other father’? If everything were merely experiential, had by an individual, just as envisaged as being had by all other conscious individuals, how then could they refer, among themselves, to this father as different from that father regardless of </w:t>
      </w:r>
      <w:r>
        <w:rPr>
          <w:sz w:val="24"/>
        </w:rPr>
        <w:lastRenderedPageBreak/>
        <w:t>whether they be existent or non-existent, non-mythical or mythical in origination? In effect, without some form of spatio-temporal location no father could be successfully differentiated from any other father (let alone being able to entertain experiences of the ‘same’ father as ‘that’ specific father</w:t>
      </w:r>
      <w:r>
        <w:rPr>
          <w:rStyle w:val="FootnoteReference"/>
          <w:rFonts w:eastAsiaTheme="majorEastAsia"/>
          <w:sz w:val="24"/>
        </w:rPr>
        <w:footnoteReference w:id="18"/>
      </w:r>
      <w:r>
        <w:rPr>
          <w:sz w:val="24"/>
        </w:rPr>
        <w:t>). (8)</w:t>
      </w:r>
    </w:p>
    <w:p w14:paraId="3D682C11" w14:textId="77777777" w:rsidR="00EA3DAE" w:rsidRDefault="00EA3DAE" w:rsidP="00EA3DAE">
      <w:pPr>
        <w:keepNext/>
        <w:jc w:val="both"/>
        <w:outlineLvl w:val="3"/>
        <w:rPr>
          <w:sz w:val="24"/>
        </w:rPr>
      </w:pPr>
    </w:p>
    <w:p w14:paraId="606F5CFE" w14:textId="77777777" w:rsidR="00EA3DAE" w:rsidRDefault="00EA3DAE" w:rsidP="00EA3DAE">
      <w:pPr>
        <w:keepNext/>
        <w:jc w:val="both"/>
        <w:outlineLvl w:val="3"/>
        <w:rPr>
          <w:sz w:val="24"/>
        </w:rPr>
      </w:pPr>
      <w:r>
        <w:rPr>
          <w:sz w:val="24"/>
        </w:rPr>
        <w:tab/>
        <w:t>Then, pragmatists who insist that everything is textual, linguistic or similar, have trouble referring to anything, be that either in general, in particular and/or specifically, given endless cycles of deferral would be involved in the use of any expression whatsoever. But, as noted, a cup of tea might be seen and ‘read’ as a ‘cup of tea’, still, hopefully, before too long, that cup of tea will be drunk and not just merely ‘read’! (9)</w:t>
      </w:r>
    </w:p>
    <w:p w14:paraId="2B4F6DCB" w14:textId="77777777" w:rsidR="00EA3DAE" w:rsidRDefault="00EA3DAE" w:rsidP="00EA3DAE">
      <w:pPr>
        <w:keepNext/>
        <w:jc w:val="both"/>
        <w:outlineLvl w:val="3"/>
        <w:rPr>
          <w:sz w:val="24"/>
        </w:rPr>
      </w:pPr>
    </w:p>
    <w:p w14:paraId="2133BF58" w14:textId="77777777" w:rsidR="00EA3DAE" w:rsidRDefault="00EA3DAE" w:rsidP="00EA3DAE">
      <w:pPr>
        <w:keepNext/>
        <w:jc w:val="both"/>
        <w:outlineLvl w:val="3"/>
        <w:rPr>
          <w:sz w:val="24"/>
        </w:rPr>
      </w:pPr>
      <w:r>
        <w:rPr>
          <w:sz w:val="24"/>
        </w:rPr>
        <w:tab/>
        <w:t>By rights, these three kinds of extreme philosophers couldn’t even talk to each other let alone debate such impossible contentions. Realists would be perceiving people as mere ‘objects’ with the label ‘person’ merely added on. Idealists, would see everything as mere forms of experience, without a material-like sense of reference, without being able to adequately differentiate one type of experience from another except in superficial terms like ‘as entertained now’ or ‘as entertained yesterday’, and so on. As for pragmatists, they would be merely ‘texts talking to texts about other texts, and so on’. (10)</w:t>
      </w:r>
    </w:p>
    <w:p w14:paraId="59404817" w14:textId="77777777" w:rsidR="00EA3DAE" w:rsidRDefault="00EA3DAE" w:rsidP="00EA3DAE">
      <w:pPr>
        <w:keepNext/>
        <w:jc w:val="both"/>
        <w:outlineLvl w:val="3"/>
        <w:rPr>
          <w:sz w:val="24"/>
        </w:rPr>
      </w:pPr>
    </w:p>
    <w:p w14:paraId="121A923E" w14:textId="77777777" w:rsidR="00EA3DAE" w:rsidRDefault="00EA3DAE" w:rsidP="00EA3DAE">
      <w:pPr>
        <w:keepNext/>
        <w:ind w:firstLine="720"/>
        <w:jc w:val="both"/>
        <w:outlineLvl w:val="3"/>
        <w:rPr>
          <w:sz w:val="24"/>
        </w:rPr>
      </w:pPr>
      <w:r>
        <w:rPr>
          <w:sz w:val="24"/>
        </w:rPr>
        <w:t>Is there no salvation in their limited terms of reference? Or, what might we be able to salvage… learn from such devastating criticism?</w:t>
      </w:r>
      <w:r>
        <w:rPr>
          <w:rStyle w:val="FootnoteReference"/>
          <w:rFonts w:eastAsiaTheme="majorEastAsia"/>
          <w:sz w:val="24"/>
        </w:rPr>
        <w:footnoteReference w:id="19"/>
      </w:r>
      <w:r>
        <w:rPr>
          <w:sz w:val="24"/>
        </w:rPr>
        <w:t xml:space="preserve"> (11) </w:t>
      </w:r>
    </w:p>
    <w:p w14:paraId="20691FFA" w14:textId="77777777" w:rsidR="00EA3DAE" w:rsidRDefault="00EA3DAE" w:rsidP="00EA3DAE">
      <w:pPr>
        <w:keepNext/>
        <w:jc w:val="both"/>
        <w:outlineLvl w:val="3"/>
        <w:rPr>
          <w:sz w:val="24"/>
        </w:rPr>
      </w:pPr>
    </w:p>
    <w:p w14:paraId="7BFC9049" w14:textId="77777777" w:rsidR="00EA3DAE" w:rsidRDefault="00EA3DAE" w:rsidP="00EA3DAE">
      <w:pPr>
        <w:keepNext/>
        <w:jc w:val="both"/>
        <w:outlineLvl w:val="3"/>
        <w:rPr>
          <w:sz w:val="24"/>
        </w:rPr>
      </w:pPr>
      <w:r>
        <w:rPr>
          <w:sz w:val="24"/>
        </w:rPr>
        <w:tab/>
        <w:t>Now, let us consider what is entailed in an ‘aspirational economy’ in order to illustrate how these three schools of philosophy need to come together and cooperate; if only to see out the successful realization of our intentional objectives. Here an ‘aspiration’ is ‘the intentional desire to see the enacted realization of a personal ambition or a social aspiration’. In the social scheme of things, we cannot draw too hard a distinction between ‘ambitions’ and ‘aspirations’ since the individual cannot see out the successful discharge of any one of their intentions without the assistance of others, and v.v. Such intentions being enacted in either relatively short-term ‘projects’ or in long-term ‘programs’.</w:t>
      </w:r>
      <w:r>
        <w:rPr>
          <w:rStyle w:val="FootnoteReference"/>
          <w:rFonts w:eastAsiaTheme="majorEastAsia"/>
          <w:sz w:val="24"/>
        </w:rPr>
        <w:footnoteReference w:id="20"/>
      </w:r>
      <w:r>
        <w:rPr>
          <w:sz w:val="24"/>
        </w:rPr>
        <w:t xml:space="preserve"> (12)</w:t>
      </w:r>
    </w:p>
    <w:p w14:paraId="233831E3" w14:textId="77777777" w:rsidR="00EA3DAE" w:rsidRDefault="00EA3DAE" w:rsidP="00EA3DAE">
      <w:pPr>
        <w:keepNext/>
        <w:jc w:val="both"/>
        <w:outlineLvl w:val="3"/>
        <w:rPr>
          <w:sz w:val="24"/>
        </w:rPr>
      </w:pPr>
    </w:p>
    <w:p w14:paraId="3DDEA490" w14:textId="77777777" w:rsidR="00EA3DAE" w:rsidRDefault="00EA3DAE" w:rsidP="00EA3DAE">
      <w:pPr>
        <w:keepNext/>
        <w:jc w:val="both"/>
        <w:outlineLvl w:val="3"/>
        <w:rPr>
          <w:sz w:val="24"/>
        </w:rPr>
      </w:pPr>
      <w:r>
        <w:rPr>
          <w:sz w:val="24"/>
        </w:rPr>
        <w:tab/>
        <w:t>As a philosophically treated economy, in this aspirational economy we need to find three relevant factors, as dialectical moments or polarities, in order to enact the successful execution of our ambitions/aspirations. I do so through noting, a need to realistically know ‘where’ we are starting from in this quest, what the idealistic nature of that quest is, in effect, ‘why’; and, ‘how’, in pragmatic terms, we get from the former to the latter? All quite simple and all rather obvious when you think about it. In other words, in non-over-committed forms, these three types of philosophy need to cooperate. Linking a realistic ‘where’ with an idealist ‘why’ realized through a pragmatic ‘how’. (13)</w:t>
      </w:r>
    </w:p>
    <w:p w14:paraId="215BECA6" w14:textId="77777777" w:rsidR="00EA3DAE" w:rsidRDefault="00EA3DAE" w:rsidP="00EA3DAE">
      <w:pPr>
        <w:keepNext/>
        <w:jc w:val="both"/>
        <w:outlineLvl w:val="3"/>
        <w:rPr>
          <w:sz w:val="24"/>
        </w:rPr>
      </w:pPr>
    </w:p>
    <w:p w14:paraId="5E9268F4" w14:textId="77777777" w:rsidR="00EA3DAE" w:rsidRDefault="00EA3DAE" w:rsidP="00EA3DAE">
      <w:pPr>
        <w:keepNext/>
        <w:jc w:val="both"/>
        <w:outlineLvl w:val="3"/>
        <w:rPr>
          <w:sz w:val="24"/>
        </w:rPr>
      </w:pPr>
      <w:r>
        <w:rPr>
          <w:sz w:val="24"/>
        </w:rPr>
        <w:tab/>
        <w:t xml:space="preserve">Interestingly, elsewhere, I have explored the fact that in our intentional lives there is a divide between a relatively non-causal, virtual world of the intentional, etc., and a casual world of the relatively non-virtual. Now, because I can entertain a certain intention I can immediately do so. But, if I wish to enact that intention I have to do so through enacting a set of sequences </w:t>
      </w:r>
      <w:r>
        <w:rPr>
          <w:sz w:val="24"/>
        </w:rPr>
        <w:lastRenderedPageBreak/>
        <w:t xml:space="preserve">as determined by invoking the relevant intentional genre or genres in question. But, all this takes time and effort and, then, I may not succeed. Hence my virtual ‘emplacement’ in this world is non-virtually ‘displaced’ by my inability to immediately realize the non-virtual nature of my intentions. However, through diligence and suitably enacting the right sequences of intentionally directed enaction I may or may not realize that specific intention being focused upon. But, then, when I succeed, this could be referred to as a successful process of ‘de-displacement’. (14) </w:t>
      </w:r>
    </w:p>
    <w:p w14:paraId="31D151E0" w14:textId="77777777" w:rsidR="00EA3DAE" w:rsidRDefault="00EA3DAE" w:rsidP="00EA3DAE">
      <w:pPr>
        <w:keepNext/>
        <w:jc w:val="both"/>
        <w:outlineLvl w:val="3"/>
        <w:rPr>
          <w:sz w:val="24"/>
        </w:rPr>
      </w:pPr>
    </w:p>
    <w:p w14:paraId="463ED42B" w14:textId="77777777" w:rsidR="00EA3DAE" w:rsidRDefault="00EA3DAE" w:rsidP="00EA3DAE">
      <w:pPr>
        <w:keepNext/>
        <w:jc w:val="both"/>
        <w:outlineLvl w:val="3"/>
        <w:rPr>
          <w:sz w:val="24"/>
        </w:rPr>
      </w:pPr>
      <w:r>
        <w:rPr>
          <w:sz w:val="24"/>
        </w:rPr>
        <w:tab/>
        <w:t>In the same vein, we can further note that as these three economic moments or poles of ‘where, why and how’ are ‘polar’ in nature it must imply that they can only be somewhat approached and not completely reached or realized. In effect, our entailed aspirations to start where we need to be, to completely thematize our motivation, and, be entirely privy to what needs to be done is to be completely undercut by the fact that we are never in the pure possession of such positionings. Indeed, each of these three moments, themselves, needs to meet processes of emplacement, displacement and de-displacement in order, through some form of ‘dialectical approximation’, to oversee that we may eventually arrive at a reasonable satisfaction of these necessary pre-conditional objectives entailed within our overall ambition/aspiration. Therein encountering, recognizing and engaging such necessary pre-conditions as entailed within the overall realization of those ambitions/aspirations. A qualification that could be referred to as a ‘triple emplacement’ (along with its ‘triple displacement’ and ‘triple de-displacement’). E.g., to go to university and do a degree we need to go to school first, but, no amount of schooling is ever going to completely prepare us for our going to university. Thankfully, we leave school and work the best with what we already have to hand, and, if we duly observe all relevant protocols (genre-conventions) with an element of good luck and hard work we might well meet with some degree of success...</w:t>
      </w:r>
      <w:r>
        <w:rPr>
          <w:rStyle w:val="FootnoteReference"/>
          <w:rFonts w:eastAsiaTheme="majorEastAsia"/>
          <w:sz w:val="24"/>
        </w:rPr>
        <w:footnoteReference w:id="21"/>
      </w:r>
      <w:r>
        <w:rPr>
          <w:sz w:val="24"/>
        </w:rPr>
        <w:t xml:space="preserve"> (15)</w:t>
      </w:r>
    </w:p>
    <w:p w14:paraId="735E4EA2" w14:textId="77777777" w:rsidR="00EA3DAE" w:rsidRDefault="00EA3DAE" w:rsidP="00EA3DAE">
      <w:pPr>
        <w:keepNext/>
        <w:jc w:val="both"/>
        <w:outlineLvl w:val="3"/>
        <w:rPr>
          <w:sz w:val="24"/>
        </w:rPr>
      </w:pPr>
    </w:p>
    <w:p w14:paraId="03FB94F7" w14:textId="77777777" w:rsidR="00EA3DAE" w:rsidRDefault="00EA3DAE" w:rsidP="00EA3DAE">
      <w:pPr>
        <w:keepNext/>
        <w:jc w:val="both"/>
        <w:outlineLvl w:val="3"/>
        <w:rPr>
          <w:sz w:val="24"/>
        </w:rPr>
      </w:pPr>
      <w:r>
        <w:rPr>
          <w:sz w:val="24"/>
        </w:rPr>
        <w:tab/>
        <w:t>Now, this aspiration to ‘locate’ Father Xmas should proceed, metaphorically, along similar lines. We have a pretty good idea where we are in this world. But, we also know that no journey is going to find Father Xmas on this planet, neither his non-existent presence nor his non-existent absence. On the other hand, knowing that this character is entirely mythical means our journey to ‘locate’ this person must also be ‘mythical’ in nature, i.e., entirely imaginary. To do so means we have to invoke a relational sphere of being and, within it, construct or find constructed a section or ‘set of cultural spaces’ dealing with mythical characters. In this regard, linking ‘where’ and ‘why’ with ‘how’. As noted: A mythical sphere is nothing much more than imagining a relational dimension in which a myth is simulated in mythical terms of reference.</w:t>
      </w:r>
      <w:r>
        <w:rPr>
          <w:rStyle w:val="FootnoteReference"/>
          <w:rFonts w:eastAsiaTheme="majorEastAsia"/>
          <w:sz w:val="24"/>
        </w:rPr>
        <w:footnoteReference w:id="22"/>
      </w:r>
      <w:r>
        <w:rPr>
          <w:sz w:val="24"/>
        </w:rPr>
        <w:t xml:space="preserve"> (16)</w:t>
      </w:r>
    </w:p>
    <w:p w14:paraId="658E81CC" w14:textId="77777777" w:rsidR="00EA3DAE" w:rsidRDefault="00EA3DAE" w:rsidP="00EA3DAE">
      <w:pPr>
        <w:keepNext/>
        <w:jc w:val="both"/>
        <w:outlineLvl w:val="3"/>
        <w:rPr>
          <w:sz w:val="24"/>
        </w:rPr>
      </w:pPr>
    </w:p>
    <w:p w14:paraId="2716668C" w14:textId="55B2338C" w:rsidR="00EA3DAE" w:rsidRDefault="00EA3DAE" w:rsidP="00EA3DAE">
      <w:pPr>
        <w:keepNext/>
        <w:jc w:val="both"/>
        <w:outlineLvl w:val="3"/>
        <w:rPr>
          <w:sz w:val="24"/>
        </w:rPr>
      </w:pPr>
      <w:r>
        <w:rPr>
          <w:sz w:val="24"/>
        </w:rPr>
        <w:tab/>
        <w:t>The next question we need to ask is how do we (either metaphorically and/or experientially) ‘enter’ a relational dimension? My solution is to exercise an (extended) suspension! And how do we do that – by entertaining, as one approach, a dynamic balance between these economic moments or polarities in our thinking. Indeed, by entertaining such a balance we do not over-concentrate on merely observing ‘where we are’ or ‘why we are heading in a certain direction’ or ‘on how this ambition/aspiration is to be successfully enacted’. Reinforcing, indirectly, this previous observation that realists, idealists</w:t>
      </w:r>
      <w:r w:rsidR="00874AEA">
        <w:rPr>
          <w:sz w:val="24"/>
        </w:rPr>
        <w:t>,</w:t>
      </w:r>
      <w:r>
        <w:rPr>
          <w:sz w:val="24"/>
        </w:rPr>
        <w:t xml:space="preserve"> and </w:t>
      </w:r>
      <w:r>
        <w:rPr>
          <w:sz w:val="24"/>
        </w:rPr>
        <w:lastRenderedPageBreak/>
        <w:t>pragmatists need to work together in order to successfully enact their intentional objectives; be they either philosophical and/or non-philosophical in nature! (17)</w:t>
      </w:r>
    </w:p>
    <w:p w14:paraId="2168D0DE" w14:textId="77777777" w:rsidR="00EA3DAE" w:rsidRDefault="00EA3DAE" w:rsidP="00EA3DAE">
      <w:pPr>
        <w:keepNext/>
        <w:jc w:val="both"/>
        <w:outlineLvl w:val="3"/>
        <w:rPr>
          <w:sz w:val="24"/>
        </w:rPr>
      </w:pPr>
    </w:p>
    <w:p w14:paraId="4D219D7A" w14:textId="77777777" w:rsidR="00EA3DAE" w:rsidRDefault="00EA3DAE" w:rsidP="00EA3DAE">
      <w:pPr>
        <w:keepNext/>
        <w:jc w:val="both"/>
        <w:outlineLvl w:val="3"/>
        <w:rPr>
          <w:sz w:val="24"/>
        </w:rPr>
      </w:pPr>
      <w:r>
        <w:rPr>
          <w:sz w:val="24"/>
        </w:rPr>
        <w:tab/>
        <w:t>Then, I ask the most important question in this essay (paragraph 889), namely, in entering into a relational sphere of being, how do we do so in an existential manner? I.e., just how do we enter the existential dimension? My solution to this question is to say that we do so through exercising this suspension in a pro-relational manner that promotes, first, this suspension, and v.v., and, also, second, a necessary de-suspension of the same (lest we be ‘trapped’ in the suspension)… as well as maintaining a suspended balance between these former moments of the suspension and the de-suspension in order, therein and thereafter, to entertain all three moments, namely, the suspension, the de-suspension, and, the dynamic balance between this suspension and this de-suspension. That this is how we (metaphorically) entertain this ‘extended suspension’… as our entry into this existential dimension. But, putting such technical considerations aside, we should now ask why (either metaphorically and/or experientially) should we enter this existential dimension? Because, by such means, the existential transformation of our relationships can oversee an enrichment of the value</w:t>
      </w:r>
      <w:r>
        <w:rPr>
          <w:rStyle w:val="FootnoteReference"/>
          <w:rFonts w:eastAsiaTheme="majorEastAsia"/>
          <w:sz w:val="24"/>
        </w:rPr>
        <w:footnoteReference w:id="23"/>
      </w:r>
      <w:r>
        <w:rPr>
          <w:sz w:val="24"/>
        </w:rPr>
        <w:t xml:space="preserve"> entailed therein for all relevant parts and parties as found within that relationship. (18)</w:t>
      </w:r>
    </w:p>
    <w:p w14:paraId="1DA34071" w14:textId="77777777" w:rsidR="00EA3DAE" w:rsidRDefault="00EA3DAE" w:rsidP="00EA3DAE">
      <w:pPr>
        <w:keepNext/>
        <w:jc w:val="both"/>
        <w:outlineLvl w:val="3"/>
        <w:rPr>
          <w:sz w:val="24"/>
        </w:rPr>
      </w:pPr>
    </w:p>
    <w:p w14:paraId="1AEBF0D7" w14:textId="77777777" w:rsidR="00EA3DAE" w:rsidRDefault="00EA3DAE" w:rsidP="00EA3DAE">
      <w:pPr>
        <w:keepNext/>
        <w:jc w:val="both"/>
        <w:outlineLvl w:val="3"/>
        <w:rPr>
          <w:sz w:val="24"/>
        </w:rPr>
      </w:pPr>
      <w:r>
        <w:rPr>
          <w:sz w:val="24"/>
        </w:rPr>
        <w:tab/>
        <w:t>I have argued in this volume, that ‘no amount of staring at pots or people is ever going to tell us what value those pots and people have for us, for-us!’ In other words, value cannot be determined in and through intentional terms of reference alone. Only through judgments can this be realized. And the trans-intentional nature of judgments can only be experienced by entertaining a relational sphere of being. In other words, entertaining an extended suspension as just outlined. Moreover, entertaining the existential transformation of judgments, and their enrichment of our relationships, can only be enacted through exercising this extended suspension, through entering the economy of the extended suspension! So, if this is as beneficial as I have suggested, what is to be gained by exercising this pro-relational attitude as indicated? (19)</w:t>
      </w:r>
    </w:p>
    <w:p w14:paraId="68832E03" w14:textId="77777777" w:rsidR="00EA3DAE" w:rsidRDefault="00EA3DAE" w:rsidP="00EA3DAE">
      <w:pPr>
        <w:keepNext/>
        <w:jc w:val="both"/>
        <w:outlineLvl w:val="3"/>
        <w:rPr>
          <w:sz w:val="24"/>
        </w:rPr>
      </w:pPr>
    </w:p>
    <w:p w14:paraId="0B8914FD" w14:textId="77777777" w:rsidR="00EA3DAE" w:rsidRDefault="00EA3DAE" w:rsidP="00EA3DAE">
      <w:pPr>
        <w:keepNext/>
        <w:jc w:val="both"/>
        <w:outlineLvl w:val="3"/>
        <w:rPr>
          <w:sz w:val="24"/>
        </w:rPr>
      </w:pPr>
      <w:r>
        <w:rPr>
          <w:sz w:val="24"/>
        </w:rPr>
        <w:tab/>
        <w:t>In my paper I gave three examples of existentially oriented behaviour.</w:t>
      </w:r>
      <w:r>
        <w:rPr>
          <w:rStyle w:val="FootnoteReference"/>
          <w:rFonts w:eastAsiaTheme="majorEastAsia"/>
          <w:sz w:val="24"/>
        </w:rPr>
        <w:footnoteReference w:id="24"/>
      </w:r>
      <w:r>
        <w:rPr>
          <w:sz w:val="24"/>
        </w:rPr>
        <w:t xml:space="preserve"> A mother watching out for her infant and stopping it from crawling into the fire-filled confines of an open fire-place. A school friend sharing their lunch with a fellow pupil. Concerned passersby assisting an elderly person who has slipped on a patch of ice. I am sure we could supply many more examples. Intently enjoying a wonderful work of art. Being smiled at. Watching a beautiful sunrise or sunset. Enjoying a cup of coffee with a good friend. Reading an absorbing novel. Walking along a beach and watching the relentless rolling of the waves. Falling in love. Doing philosophy. Need I add more… (20)</w:t>
      </w:r>
    </w:p>
    <w:p w14:paraId="24F6F6F8" w14:textId="77777777" w:rsidR="00EA3DAE" w:rsidRDefault="00EA3DAE" w:rsidP="00EA3DAE">
      <w:pPr>
        <w:keepNext/>
        <w:jc w:val="both"/>
        <w:outlineLvl w:val="3"/>
        <w:rPr>
          <w:sz w:val="24"/>
        </w:rPr>
      </w:pPr>
    </w:p>
    <w:p w14:paraId="316D3F64" w14:textId="77777777" w:rsidR="00EA3DAE" w:rsidRDefault="00EA3DAE" w:rsidP="00EA3DAE">
      <w:pPr>
        <w:keepNext/>
        <w:jc w:val="both"/>
        <w:outlineLvl w:val="3"/>
        <w:rPr>
          <w:sz w:val="24"/>
        </w:rPr>
      </w:pPr>
      <w:r>
        <w:rPr>
          <w:sz w:val="24"/>
        </w:rPr>
        <w:tab/>
        <w:t xml:space="preserve">In all these examples we see beyond the limited confines of our own senses of self or ego. We become more centered in the midst of our relationships. Then, an existentially oriented experience of reality takes on a different sense and semblance of time and space, self and other. Such an orientation has been described as being ‘in the living moment’, the ‘eternal now’, where we meet spontaneity, synchronicity, simultaneity; meet a transcendence of mere place, go beyond the apparent limits of our embodiment; encounter the other, and so on. Moreover, it </w:t>
      </w:r>
      <w:r>
        <w:rPr>
          <w:sz w:val="24"/>
        </w:rPr>
        <w:lastRenderedPageBreak/>
        <w:t>is in this dimension where we experience the creation of value, observe its preservation, and realize an enrichment of the same (through conservation), and so on… (21)</w:t>
      </w:r>
    </w:p>
    <w:p w14:paraId="4725BB1D" w14:textId="77777777" w:rsidR="00EA3DAE" w:rsidRDefault="00EA3DAE" w:rsidP="00EA3DAE">
      <w:pPr>
        <w:keepNext/>
        <w:jc w:val="both"/>
        <w:outlineLvl w:val="3"/>
        <w:rPr>
          <w:sz w:val="24"/>
        </w:rPr>
      </w:pPr>
    </w:p>
    <w:p w14:paraId="0D8834EF" w14:textId="77777777" w:rsidR="00EA3DAE" w:rsidRDefault="00EA3DAE" w:rsidP="00EA3DAE">
      <w:pPr>
        <w:keepNext/>
        <w:jc w:val="both"/>
        <w:outlineLvl w:val="3"/>
        <w:rPr>
          <w:sz w:val="24"/>
        </w:rPr>
      </w:pPr>
      <w:r>
        <w:rPr>
          <w:sz w:val="24"/>
        </w:rPr>
        <w:tab/>
        <w:t>So, in our having ‘revisited Father Xmas’ what philosophical insights might we have realized in the process? (22)</w:t>
      </w:r>
    </w:p>
    <w:p w14:paraId="3D636FCB" w14:textId="77777777" w:rsidR="00EA3DAE" w:rsidRDefault="00EA3DAE" w:rsidP="00EA3DAE">
      <w:pPr>
        <w:keepNext/>
        <w:jc w:val="both"/>
        <w:outlineLvl w:val="3"/>
        <w:rPr>
          <w:sz w:val="24"/>
        </w:rPr>
      </w:pPr>
    </w:p>
    <w:p w14:paraId="2AC496B7" w14:textId="77777777" w:rsidR="00EA3DAE" w:rsidRDefault="00EA3DAE" w:rsidP="00EA3DAE">
      <w:pPr>
        <w:keepNext/>
        <w:ind w:firstLine="720"/>
        <w:jc w:val="both"/>
        <w:outlineLvl w:val="3"/>
        <w:rPr>
          <w:sz w:val="24"/>
        </w:rPr>
      </w:pPr>
      <w:r>
        <w:rPr>
          <w:sz w:val="24"/>
        </w:rPr>
        <w:t>That we can get nowhere through adopting the impossible economics of an extreme ideological attitude! That to make progress we need to observe a dynamic, economic balance between realist, idealist and pragmatist orientations in positioning. In other words, observe a working suspension.</w:t>
      </w:r>
      <w:r>
        <w:rPr>
          <w:rStyle w:val="FootnoteReference"/>
          <w:rFonts w:eastAsiaTheme="majorEastAsia"/>
          <w:sz w:val="24"/>
        </w:rPr>
        <w:footnoteReference w:id="25"/>
      </w:r>
      <w:r>
        <w:rPr>
          <w:sz w:val="24"/>
        </w:rPr>
        <w:t xml:space="preserve"> That by invoking a suspension, in one form or another, we center ourselves in the phenomenological nature of that relationship in question.</w:t>
      </w:r>
      <w:r>
        <w:rPr>
          <w:rStyle w:val="FootnoteReference"/>
          <w:rFonts w:eastAsiaTheme="majorEastAsia"/>
          <w:sz w:val="24"/>
        </w:rPr>
        <w:footnoteReference w:id="26"/>
      </w:r>
      <w:r>
        <w:rPr>
          <w:sz w:val="24"/>
        </w:rPr>
        <w:t xml:space="preserve"> Moreover, in suspending that suspension (as envisaged in an ongoing, extended overall transcendental suspension</w:t>
      </w:r>
      <w:r>
        <w:rPr>
          <w:rStyle w:val="FootnoteReference"/>
          <w:rFonts w:eastAsiaTheme="majorEastAsia"/>
          <w:sz w:val="24"/>
        </w:rPr>
        <w:footnoteReference w:id="27"/>
      </w:r>
      <w:r>
        <w:rPr>
          <w:sz w:val="24"/>
        </w:rPr>
        <w:t>), effectively, we are taking a pro-relational attitude that is not obsessed with the mere desires of ourselves or the mere desires of others, but, a fostering of the better, or the relatively ‘best’, interests of that relationship itself to the mutual benefit of all parties who directly participate in that relationship.</w:t>
      </w:r>
      <w:r>
        <w:rPr>
          <w:rStyle w:val="FootnoteReference"/>
          <w:rFonts w:eastAsiaTheme="majorEastAsia"/>
          <w:sz w:val="24"/>
        </w:rPr>
        <w:footnoteReference w:id="28"/>
      </w:r>
      <w:r>
        <w:rPr>
          <w:sz w:val="24"/>
        </w:rPr>
        <w:t xml:space="preserve"> Indeed, if receptive to the needs of that relationship, we may well find ourselves ‘called upon’, empowered to existentially intervene in order to re-direct the trajectory of that relationship to the betterment of all parties concerned. That in our existentialization of the relatively non-existential in orientation</w:t>
      </w:r>
      <w:r>
        <w:rPr>
          <w:rStyle w:val="FootnoteReference"/>
          <w:rFonts w:eastAsiaTheme="majorEastAsia"/>
          <w:sz w:val="24"/>
        </w:rPr>
        <w:footnoteReference w:id="29"/>
      </w:r>
      <w:r>
        <w:rPr>
          <w:sz w:val="24"/>
        </w:rPr>
        <w:t xml:space="preserve"> we will experience this world as lived-and-shared anew, in a distinctly different light. Namely, in a spontaneity of living experience where we appear to transcend limits imposed through place and time, of self and other, and, harmonically experience an ongoing sense of resolution, resolve and resoluteness…!</w:t>
      </w:r>
      <w:r>
        <w:rPr>
          <w:rStyle w:val="FootnoteReference"/>
          <w:rFonts w:eastAsiaTheme="majorEastAsia"/>
          <w:sz w:val="24"/>
        </w:rPr>
        <w:footnoteReference w:id="30"/>
      </w:r>
      <w:r>
        <w:rPr>
          <w:sz w:val="24"/>
        </w:rPr>
        <w:t xml:space="preserve"> (23)</w:t>
      </w:r>
    </w:p>
    <w:p w14:paraId="52D6A765" w14:textId="77777777" w:rsidR="00EA3DAE" w:rsidRDefault="00EA3DAE" w:rsidP="00EA3DAE">
      <w:pPr>
        <w:keepNext/>
        <w:ind w:firstLine="720"/>
        <w:jc w:val="both"/>
        <w:outlineLvl w:val="3"/>
        <w:rPr>
          <w:sz w:val="24"/>
        </w:rPr>
      </w:pPr>
    </w:p>
    <w:p w14:paraId="0FE0C162" w14:textId="6B5D9AC2" w:rsidR="00EA3DAE" w:rsidRDefault="00EA3DAE" w:rsidP="00EA3DAE">
      <w:pPr>
        <w:ind w:firstLine="720"/>
        <w:jc w:val="both"/>
        <w:rPr>
          <w:sz w:val="24"/>
        </w:rPr>
      </w:pPr>
      <w:r>
        <w:rPr>
          <w:sz w:val="24"/>
        </w:rPr>
        <w:t>A pro-relational attitude relatively privileges the relationship given that emergent ‘wholes’ are psychically greater than the sum of their parts. In this instance, what should be privileged should be privileged! On the other hand, what should not be privileged should not be privileged! Extremist positions render the economics of their relational presentation as impossible through such de-centering and through such undeserved forms of privilege. But in the relative privileging of our relationships, rather than the egos of ourselves and others, along with our addictions and obsessions, we collectively re-center ourselves directly in the lived-reality of ‘our’ current situatedness. Receptive to the ‘spirit’ of that relationship, as an ‘existential excess’ or a ‘surplus’ of value (in its valuational</w:t>
      </w:r>
      <w:r>
        <w:rPr>
          <w:rStyle w:val="FootnoteReference"/>
          <w:rFonts w:eastAsiaTheme="majorEastAsia"/>
          <w:sz w:val="24"/>
        </w:rPr>
        <w:footnoteReference w:id="31"/>
      </w:r>
      <w:r>
        <w:rPr>
          <w:sz w:val="24"/>
        </w:rPr>
        <w:t xml:space="preserve">) formation, we may well find </w:t>
      </w:r>
      <w:r>
        <w:rPr>
          <w:sz w:val="24"/>
        </w:rPr>
        <w:lastRenderedPageBreak/>
        <w:t>ourselves ‘empowered’ to act on the behalf of our relationships through well-informed, existentially attuned patterns of enaction.</w:t>
      </w:r>
      <w:r>
        <w:rPr>
          <w:rStyle w:val="FootnoteReference"/>
          <w:rFonts w:eastAsiaTheme="majorEastAsia"/>
          <w:sz w:val="24"/>
        </w:rPr>
        <w:footnoteReference w:id="32"/>
      </w:r>
      <w:r>
        <w:rPr>
          <w:sz w:val="24"/>
        </w:rPr>
        <w:t xml:space="preserve"> In effect, looking out for others just as others, hopefully, will be looking out for-us….</w:t>
      </w:r>
      <w:r w:rsidR="00A2479C">
        <w:rPr>
          <w:rStyle w:val="FootnoteReference"/>
          <w:sz w:val="24"/>
        </w:rPr>
        <w:footnoteReference w:id="33"/>
      </w:r>
      <w:r>
        <w:rPr>
          <w:sz w:val="24"/>
        </w:rPr>
        <w:t xml:space="preserve"> (24)</w:t>
      </w:r>
      <w:r>
        <w:rPr>
          <w:sz w:val="24"/>
        </w:rPr>
        <w:tab/>
      </w:r>
      <w:r>
        <w:rPr>
          <w:sz w:val="24"/>
        </w:rPr>
        <w:tab/>
        <w:t xml:space="preserve"> </w:t>
      </w:r>
    </w:p>
    <w:p w14:paraId="24550E3B" w14:textId="77777777" w:rsidR="00AD62DC" w:rsidRDefault="00AD62DC" w:rsidP="00AD62DC">
      <w:pPr>
        <w:jc w:val="both"/>
        <w:rPr>
          <w:sz w:val="24"/>
        </w:rPr>
      </w:pPr>
    </w:p>
    <w:p w14:paraId="6C4432EE" w14:textId="1B2F039A" w:rsidR="00EA3DAE" w:rsidRDefault="00AD62DC" w:rsidP="00AD62DC">
      <w:pPr>
        <w:ind w:left="2880"/>
        <w:jc w:val="both"/>
      </w:pPr>
      <w:r>
        <w:rPr>
          <w:sz w:val="24"/>
        </w:rPr>
        <w:t xml:space="preserve">            </w:t>
      </w:r>
      <w:r w:rsidR="00EA3DAE">
        <w:rPr>
          <w:sz w:val="24"/>
        </w:rPr>
        <w:t>Noël Tointon, Wentworth Falls, 25.6.20.</w:t>
      </w:r>
      <w:r>
        <w:rPr>
          <w:sz w:val="24"/>
        </w:rPr>
        <w:t xml:space="preserve"> Edited, 26.9.26.</w:t>
      </w:r>
    </w:p>
    <w:p w14:paraId="55951EB1" w14:textId="5FB82E9C" w:rsidR="00D42CD4" w:rsidRDefault="00D42CD4"/>
    <w:sectPr w:rsidR="00D42CD4" w:rsidSect="00F36F51">
      <w:headerReference w:type="default" r:id="rId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3E4FF" w14:textId="77777777" w:rsidR="00B17CE1" w:rsidRDefault="00B17CE1" w:rsidP="00B17CE1">
      <w:r>
        <w:separator/>
      </w:r>
    </w:p>
  </w:endnote>
  <w:endnote w:type="continuationSeparator" w:id="0">
    <w:p w14:paraId="2D14ECF6" w14:textId="77777777" w:rsidR="00B17CE1" w:rsidRDefault="00B17CE1" w:rsidP="00B17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F90A7" w14:textId="77777777" w:rsidR="00B17CE1" w:rsidRDefault="00B17CE1" w:rsidP="00B17CE1">
      <w:r>
        <w:separator/>
      </w:r>
    </w:p>
  </w:footnote>
  <w:footnote w:type="continuationSeparator" w:id="0">
    <w:p w14:paraId="61B64CEF" w14:textId="77777777" w:rsidR="00B17CE1" w:rsidRDefault="00B17CE1" w:rsidP="00B17CE1">
      <w:r>
        <w:continuationSeparator/>
      </w:r>
    </w:p>
  </w:footnote>
  <w:footnote w:id="1">
    <w:p w14:paraId="0F62D737" w14:textId="77777777" w:rsidR="00EA3DAE" w:rsidRPr="007E7B27" w:rsidRDefault="00EA3DAE" w:rsidP="00EA3DAE">
      <w:pPr>
        <w:pStyle w:val="FootnoteText"/>
        <w:rPr>
          <w:lang w:val="en-AU"/>
        </w:rPr>
      </w:pPr>
      <w:r>
        <w:rPr>
          <w:rStyle w:val="FootnoteReference"/>
          <w:rFonts w:eastAsiaTheme="majorEastAsia"/>
        </w:rPr>
        <w:footnoteRef/>
      </w:r>
      <w:r>
        <w:t xml:space="preserve"> </w:t>
      </w:r>
      <w:r>
        <w:rPr>
          <w:lang w:val="en-AU"/>
        </w:rPr>
        <w:tab/>
      </w:r>
      <w:r w:rsidRPr="00EE68FF">
        <w:rPr>
          <w:color w:val="000000"/>
          <w:shd w:val="clear" w:color="auto" w:fill="FFFFFF"/>
        </w:rPr>
        <w:t>*For latest version of this text</w:t>
      </w:r>
      <w:r>
        <w:rPr>
          <w:color w:val="000000"/>
          <w:shd w:val="clear" w:color="auto" w:fill="FFFFFF"/>
        </w:rPr>
        <w:t>:</w:t>
      </w:r>
      <w:r w:rsidRPr="00EE68FF">
        <w:t xml:space="preserve"> </w:t>
      </w:r>
      <w:hyperlink r:id="rId1" w:history="1">
        <w:r w:rsidRPr="00EE68FF">
          <w:rPr>
            <w:rStyle w:val="Hyperlink"/>
            <w:rFonts w:eastAsiaTheme="majorEastAsia"/>
          </w:rPr>
          <w:t>www.homestead.com/noelshomepage/noels homepage5.html</w:t>
        </w:r>
      </w:hyperlink>
    </w:p>
  </w:footnote>
  <w:footnote w:id="2">
    <w:p w14:paraId="5DE70B1B" w14:textId="77777777" w:rsidR="00EA3DAE" w:rsidRPr="008903A4" w:rsidRDefault="00EA3DAE" w:rsidP="00EA3DAE">
      <w:pPr>
        <w:pStyle w:val="FootnoteText"/>
        <w:jc w:val="both"/>
        <w:rPr>
          <w:lang w:val="en-AU"/>
        </w:rPr>
      </w:pPr>
      <w:r>
        <w:rPr>
          <w:rStyle w:val="FootnoteReference"/>
          <w:rFonts w:eastAsiaTheme="majorEastAsia"/>
        </w:rPr>
        <w:footnoteRef/>
      </w:r>
      <w:r>
        <w:t xml:space="preserve"> </w:t>
      </w:r>
      <w:r>
        <w:rPr>
          <w:lang w:val="en-AU"/>
        </w:rPr>
        <w:tab/>
        <w:t xml:space="preserve">‘Economic’ is here used as a technical expression meaning ‘a type of field phenomena constituted in nothing less than tripolar/trimodal terms of interaction in which significance is generated within and emergently through those minimum tripolar/trimodal terms of reference’. The rest of this sentence depicts various possible trimodal candidates for economic consideration. Treated as dialectical ‘poles’ or ‘moments’ means they are relative ‘directions’ that can be ever psychically moved towards but can never be reached, attained, obtained or appropriated. Just as a true north pole can never be reached (as it still extends out into space beyond the Earth) and where it cannot exist apart from a south pole (although this metaphor, as read, is bimodally constituted </w:t>
      </w:r>
      <w:r w:rsidRPr="00A024FE">
        <w:rPr>
          <w:i/>
          <w:lang w:val="en-AU"/>
        </w:rPr>
        <w:t>contra</w:t>
      </w:r>
      <w:r>
        <w:rPr>
          <w:lang w:val="en-AU"/>
        </w:rPr>
        <w:t xml:space="preserve"> the tripolar constitution of the economic). To restate this point - cut a magnet in half and you end up with two magnets not a cut-up magnet with one section possessing only a south pole and the other section only possessing a north pole. In particle physics the search for a so-called mono-pole has so far drawn a blank; a quest that I conceptually perceive as both impossible and pointless. </w:t>
      </w:r>
    </w:p>
  </w:footnote>
  <w:footnote w:id="3">
    <w:p w14:paraId="03A1F882" w14:textId="77777777" w:rsidR="00EA3DAE" w:rsidRPr="00E716CA" w:rsidRDefault="00EA3DAE" w:rsidP="00EA3DAE">
      <w:pPr>
        <w:pStyle w:val="FootnoteText"/>
        <w:jc w:val="both"/>
        <w:rPr>
          <w:lang w:val="en-AU"/>
        </w:rPr>
      </w:pPr>
      <w:r>
        <w:rPr>
          <w:rStyle w:val="FootnoteReference"/>
          <w:rFonts w:eastAsiaTheme="majorEastAsia"/>
        </w:rPr>
        <w:footnoteRef/>
      </w:r>
      <w:r>
        <w:t xml:space="preserve"> </w:t>
      </w:r>
      <w:r>
        <w:rPr>
          <w:lang w:val="en-AU"/>
        </w:rPr>
        <w:tab/>
        <w:t>Be that contracted through wages, salaries, barter, discharge of obligations, food and lodgings, protection, etc.</w:t>
      </w:r>
    </w:p>
  </w:footnote>
  <w:footnote w:id="4">
    <w:p w14:paraId="77C743B4" w14:textId="77777777" w:rsidR="00EA3DAE" w:rsidRPr="00E716CA" w:rsidRDefault="00EA3DAE" w:rsidP="00EA3DAE">
      <w:pPr>
        <w:pStyle w:val="FootnoteText"/>
        <w:jc w:val="both"/>
        <w:rPr>
          <w:lang w:val="en-AU"/>
        </w:rPr>
      </w:pPr>
      <w:r>
        <w:rPr>
          <w:rStyle w:val="FootnoteReference"/>
          <w:rFonts w:eastAsiaTheme="majorEastAsia"/>
        </w:rPr>
        <w:footnoteRef/>
      </w:r>
      <w:r>
        <w:t xml:space="preserve"> </w:t>
      </w:r>
      <w:r>
        <w:rPr>
          <w:lang w:val="en-AU"/>
        </w:rPr>
        <w:tab/>
        <w:t>As explored elsewhere I have argued that contracts are grounded on a compactual basis, but, compacts are not contractually framed overtly. In contracts we have a difference in power structures, whereas, in contrast, compacts are more horizontal in their relative absence of power structures. The type of difference, e.g., between going into a café to buy a coffee and walking into a public park that charges no entrance fee. Or, e.g., the paying an arborist to chop a tree down and a number of people spontaneously electing to lift a fallen tree off a person trapped beneath.</w:t>
      </w:r>
    </w:p>
  </w:footnote>
  <w:footnote w:id="5">
    <w:p w14:paraId="327D3E3D" w14:textId="77777777" w:rsidR="00EA3DAE" w:rsidRPr="00204C10" w:rsidRDefault="00EA3DAE" w:rsidP="00EA3DAE">
      <w:pPr>
        <w:pStyle w:val="FootnoteText"/>
        <w:jc w:val="both"/>
        <w:rPr>
          <w:lang w:val="en-AU"/>
        </w:rPr>
      </w:pPr>
      <w:r>
        <w:rPr>
          <w:rStyle w:val="FootnoteReference"/>
          <w:rFonts w:eastAsiaTheme="majorEastAsia"/>
        </w:rPr>
        <w:footnoteRef/>
      </w:r>
      <w:r>
        <w:t xml:space="preserve"> </w:t>
      </w:r>
      <w:r>
        <w:rPr>
          <w:lang w:val="en-AU"/>
        </w:rPr>
        <w:tab/>
        <w:t>‘Metaphorically’ in ‘virtual terms of reference’ and ‘experientially’ in ‘non-virtual terms of reference’.</w:t>
      </w:r>
    </w:p>
  </w:footnote>
  <w:footnote w:id="6">
    <w:p w14:paraId="09C7350C" w14:textId="610F5081" w:rsidR="0045651F" w:rsidRPr="0045651F" w:rsidRDefault="0045651F" w:rsidP="0045651F">
      <w:pPr>
        <w:pStyle w:val="FootnoteText"/>
        <w:jc w:val="both"/>
        <w:rPr>
          <w:lang w:val="en-AU"/>
        </w:rPr>
      </w:pPr>
      <w:r>
        <w:rPr>
          <w:rStyle w:val="FootnoteReference"/>
        </w:rPr>
        <w:footnoteRef/>
      </w:r>
      <w:r>
        <w:t xml:space="preserve"> </w:t>
      </w:r>
      <w:r>
        <w:rPr>
          <w:lang w:val="en-AU"/>
        </w:rPr>
        <w:tab/>
        <w:t>Where the aspirational economy is also a contractual economy and a secular economy (in contrast to a philosophical, compactual, and-non-secular economy</w:t>
      </w:r>
    </w:p>
  </w:footnote>
  <w:footnote w:id="7">
    <w:p w14:paraId="09C968BB" w14:textId="77777777" w:rsidR="00EA3DAE" w:rsidRPr="003D22FF" w:rsidRDefault="00EA3DAE" w:rsidP="00EA3DAE">
      <w:pPr>
        <w:pStyle w:val="FootnoteText"/>
        <w:jc w:val="both"/>
        <w:rPr>
          <w:lang w:val="en-AU"/>
        </w:rPr>
      </w:pPr>
      <w:r>
        <w:rPr>
          <w:rStyle w:val="FootnoteReference"/>
          <w:rFonts w:eastAsiaTheme="majorEastAsia"/>
        </w:rPr>
        <w:footnoteRef/>
      </w:r>
      <w:r>
        <w:t xml:space="preserve"> </w:t>
      </w:r>
      <w:r>
        <w:rPr>
          <w:lang w:val="en-AU"/>
        </w:rPr>
        <w:tab/>
        <w:t>As defined elsewhere, ‘enaction’ is ‘deliberately directed action or non-action, or, deferral through inaction’.</w:t>
      </w:r>
    </w:p>
  </w:footnote>
  <w:footnote w:id="8">
    <w:p w14:paraId="30C80370" w14:textId="5F59714D" w:rsidR="001545A9" w:rsidRPr="001545A9" w:rsidRDefault="001545A9" w:rsidP="009C2DF2">
      <w:pPr>
        <w:pStyle w:val="FootnoteText"/>
        <w:jc w:val="both"/>
        <w:rPr>
          <w:lang w:val="en-AU"/>
        </w:rPr>
      </w:pPr>
      <w:r>
        <w:rPr>
          <w:rStyle w:val="FootnoteReference"/>
        </w:rPr>
        <w:footnoteRef/>
      </w:r>
      <w:r>
        <w:t xml:space="preserve"> </w:t>
      </w:r>
      <w:r>
        <w:rPr>
          <w:lang w:val="en-AU"/>
        </w:rPr>
        <w:tab/>
        <w:t>However, there is a difference between a ‘philosophical-disciplinary-compactual economy’ and a ‘secular-aspirational-con</w:t>
      </w:r>
      <w:r w:rsidR="009C2DF2">
        <w:rPr>
          <w:lang w:val="en-AU"/>
        </w:rPr>
        <w:t>t</w:t>
      </w:r>
      <w:r>
        <w:rPr>
          <w:lang w:val="en-AU"/>
        </w:rPr>
        <w:t>ractual economy’ where we need hexa-modal</w:t>
      </w:r>
      <w:r w:rsidR="009C2DF2">
        <w:rPr>
          <w:lang w:val="en-AU"/>
        </w:rPr>
        <w:t>ly constituted ordered</w:t>
      </w:r>
      <w:r>
        <w:rPr>
          <w:lang w:val="en-AU"/>
        </w:rPr>
        <w:t xml:space="preserve"> terms of reference</w:t>
      </w:r>
      <w:r w:rsidR="009C2DF2">
        <w:rPr>
          <w:lang w:val="en-AU"/>
        </w:rPr>
        <w:t>.</w:t>
      </w:r>
    </w:p>
  </w:footnote>
  <w:footnote w:id="9">
    <w:p w14:paraId="0EC374C0" w14:textId="77777777" w:rsidR="00EA3DAE" w:rsidRPr="000609C0" w:rsidRDefault="00EA3DAE" w:rsidP="00EA3DAE">
      <w:pPr>
        <w:pStyle w:val="FootnoteText"/>
        <w:jc w:val="both"/>
        <w:rPr>
          <w:lang w:val="en-AU"/>
        </w:rPr>
      </w:pPr>
      <w:r>
        <w:rPr>
          <w:rStyle w:val="FootnoteReference"/>
          <w:rFonts w:eastAsiaTheme="majorEastAsia"/>
        </w:rPr>
        <w:footnoteRef/>
      </w:r>
      <w:r>
        <w:t xml:space="preserve"> </w:t>
      </w:r>
      <w:r>
        <w:rPr>
          <w:lang w:val="en-AU"/>
        </w:rPr>
        <w:tab/>
        <w:t>Valuational formation is seen by me to be broader than mere value formation by including considerations of identity or identification, and function or functionality.</w:t>
      </w:r>
    </w:p>
  </w:footnote>
  <w:footnote w:id="10">
    <w:p w14:paraId="7B62A0AB" w14:textId="77777777" w:rsidR="00EA3DAE" w:rsidRPr="009418FF" w:rsidRDefault="00EA3DAE" w:rsidP="00EA3DAE">
      <w:pPr>
        <w:pStyle w:val="FootnoteText"/>
        <w:jc w:val="both"/>
        <w:rPr>
          <w:lang w:val="en-AU"/>
        </w:rPr>
      </w:pPr>
      <w:r>
        <w:rPr>
          <w:rStyle w:val="FootnoteReference"/>
          <w:rFonts w:eastAsiaTheme="majorEastAsia"/>
        </w:rPr>
        <w:footnoteRef/>
      </w:r>
      <w:r>
        <w:t xml:space="preserve"> </w:t>
      </w:r>
      <w:r>
        <w:rPr>
          <w:lang w:val="en-AU"/>
        </w:rPr>
        <w:tab/>
        <w:t xml:space="preserve">Otherwise, how are we to refer to Santa Claus if we do not envisage some form of either virtual and/or non-virtual entry to the co-associated domain in question? </w:t>
      </w:r>
    </w:p>
  </w:footnote>
  <w:footnote w:id="11">
    <w:p w14:paraId="11BAC5CC" w14:textId="77777777" w:rsidR="00EA3DAE" w:rsidRPr="009418FF" w:rsidRDefault="00EA3DAE" w:rsidP="00EA3DAE">
      <w:pPr>
        <w:pStyle w:val="FootnoteText"/>
        <w:jc w:val="both"/>
        <w:rPr>
          <w:lang w:val="en-AU"/>
        </w:rPr>
      </w:pPr>
      <w:r>
        <w:rPr>
          <w:rStyle w:val="FootnoteReference"/>
          <w:rFonts w:eastAsiaTheme="majorEastAsia"/>
        </w:rPr>
        <w:footnoteRef/>
      </w:r>
      <w:r>
        <w:t xml:space="preserve"> </w:t>
      </w:r>
      <w:r>
        <w:rPr>
          <w:lang w:val="en-AU"/>
        </w:rPr>
        <w:tab/>
        <w:t>As explored outside this section, the ‘extended suspension; as the ‘extended overall transcendental suspension’ consists of three economic moments, namely, the overall suspension, its de-suspension and the balanced suspension of the former. The ‘overall suspension being a product of three different suspensions, namely, a metaphorical suspension, a rhetorical suspension and the balanced suspension of the former’.</w:t>
      </w:r>
    </w:p>
  </w:footnote>
  <w:footnote w:id="12">
    <w:p w14:paraId="4542D862" w14:textId="77777777" w:rsidR="00EA3DAE" w:rsidRPr="000609C0" w:rsidRDefault="00EA3DAE" w:rsidP="00EA3DAE">
      <w:pPr>
        <w:pStyle w:val="FootnoteText"/>
        <w:jc w:val="both"/>
        <w:rPr>
          <w:lang w:val="en-AU"/>
        </w:rPr>
      </w:pPr>
      <w:r>
        <w:rPr>
          <w:rStyle w:val="FootnoteReference"/>
          <w:rFonts w:eastAsiaTheme="majorEastAsia"/>
        </w:rPr>
        <w:footnoteRef/>
      </w:r>
      <w:r>
        <w:t xml:space="preserve"> </w:t>
      </w:r>
      <w:r>
        <w:rPr>
          <w:lang w:val="en-AU"/>
        </w:rPr>
        <w:tab/>
        <w:t>In existential addressing and redressing the situatedness of a relationship, solutions for resolution are relatively ‘better’ rather than being absolutistically declared as ‘best’. It may well be that the very best has successfully eluded us. What is more important is the comparative positivity in ensuing e/valuational formation. Indeed, in the same type of situation different solutions may well have to be proposed when considering, e.g., if it were the case that different people were to be found embedded in that same type of relationship and were to be placed under very similar circumstances, etc. Implying a form of situational ethics.</w:t>
      </w:r>
    </w:p>
  </w:footnote>
  <w:footnote w:id="13">
    <w:p w14:paraId="30740710" w14:textId="77777777" w:rsidR="00EA3DAE" w:rsidRPr="000609C0" w:rsidRDefault="00EA3DAE" w:rsidP="00EA3DAE">
      <w:pPr>
        <w:pStyle w:val="FootnoteText"/>
        <w:jc w:val="both"/>
        <w:rPr>
          <w:lang w:val="en-AU"/>
        </w:rPr>
      </w:pPr>
      <w:r>
        <w:rPr>
          <w:rStyle w:val="FootnoteReference"/>
          <w:rFonts w:eastAsiaTheme="majorEastAsia"/>
        </w:rPr>
        <w:footnoteRef/>
      </w:r>
      <w:r>
        <w:t xml:space="preserve"> </w:t>
      </w:r>
      <w:r>
        <w:rPr>
          <w:lang w:val="en-AU"/>
        </w:rPr>
        <w:tab/>
        <w:t>Alluding to arguments, cited elsewhere, that note that ‘existentialization is of the relatively non-existential and never the relatively existential’. Conversely, ‘de-existentialization is of the relatively existential (just as, e.g., the relative goodness of an apple is lost through decay over time)’.</w:t>
      </w:r>
    </w:p>
  </w:footnote>
  <w:footnote w:id="14">
    <w:p w14:paraId="6E3FB405" w14:textId="7FB18577" w:rsidR="00EA3DAE" w:rsidRPr="002B6CB1" w:rsidRDefault="00EA3DAE" w:rsidP="00EA3DAE">
      <w:pPr>
        <w:pStyle w:val="FootnoteText"/>
        <w:jc w:val="both"/>
        <w:rPr>
          <w:lang w:val="en-AU"/>
        </w:rPr>
      </w:pPr>
      <w:r>
        <w:rPr>
          <w:rStyle w:val="FootnoteReference"/>
          <w:rFonts w:eastAsiaTheme="majorEastAsia"/>
        </w:rPr>
        <w:footnoteRef/>
      </w:r>
      <w:r>
        <w:t xml:space="preserve"> </w:t>
      </w:r>
      <w:r>
        <w:rPr>
          <w:lang w:val="en-AU"/>
        </w:rPr>
        <w:tab/>
        <w:t xml:space="preserve">This tenth section in </w:t>
      </w:r>
      <w:r w:rsidRPr="00293D13">
        <w:rPr>
          <w:i/>
          <w:iCs/>
          <w:lang w:val="en-AU"/>
        </w:rPr>
        <w:t>The Pursuit of Philosophy as a Discipline</w:t>
      </w:r>
      <w:r>
        <w:rPr>
          <w:lang w:val="en-AU"/>
        </w:rPr>
        <w:t>, Volume II, was written to be presented to The Continental Philosophy Group in June, 2020; (N.K.T., Wentworth Fall, 14.5.20</w:t>
      </w:r>
      <w:r w:rsidR="002806CF">
        <w:rPr>
          <w:lang w:val="en-AU"/>
        </w:rPr>
        <w:t>; edited 26.8.26).</w:t>
      </w:r>
    </w:p>
  </w:footnote>
  <w:footnote w:id="15">
    <w:p w14:paraId="649AF0E7" w14:textId="239F9759" w:rsidR="00EA3DAE" w:rsidRPr="00EA3DAE" w:rsidRDefault="00EA3DAE" w:rsidP="00EA3DAE">
      <w:pPr>
        <w:pStyle w:val="FootnoteText"/>
        <w:jc w:val="both"/>
        <w:rPr>
          <w:lang w:val="en-AU"/>
        </w:rPr>
      </w:pPr>
      <w:r>
        <w:rPr>
          <w:rStyle w:val="FootnoteReference"/>
        </w:rPr>
        <w:footnoteRef/>
      </w:r>
      <w:r>
        <w:t xml:space="preserve"> </w:t>
      </w:r>
      <w:r>
        <w:rPr>
          <w:lang w:val="en-AU"/>
        </w:rPr>
        <w:tab/>
        <w:t xml:space="preserve">This argument is better fleshed out in my book titled Re-Considerations. Inadvertently argued that no position, in and of itself, can be entertained in such non-relational terms. That only through an economic triangulation of perspectives do we arrive at something that might approximate a sense and semblance of positioning. Refer to my conclusions expressed in </w:t>
      </w:r>
      <w:r w:rsidRPr="00EA3DAE">
        <w:rPr>
          <w:i/>
          <w:iCs/>
          <w:lang w:val="en-AU"/>
        </w:rPr>
        <w:t>Pursuit</w:t>
      </w:r>
      <w:r>
        <w:rPr>
          <w:lang w:val="en-AU"/>
        </w:rPr>
        <w:t>, III.XII.I.</w:t>
      </w:r>
    </w:p>
  </w:footnote>
  <w:footnote w:id="16">
    <w:p w14:paraId="1CEA2166" w14:textId="77777777" w:rsidR="00EA3DAE" w:rsidRPr="00417350" w:rsidRDefault="00EA3DAE" w:rsidP="00EA3DAE">
      <w:pPr>
        <w:pStyle w:val="FootnoteText"/>
        <w:rPr>
          <w:lang w:val="en-AU"/>
        </w:rPr>
      </w:pPr>
      <w:r>
        <w:rPr>
          <w:rStyle w:val="FootnoteReference"/>
          <w:rFonts w:eastAsiaTheme="majorEastAsia"/>
        </w:rPr>
        <w:footnoteRef/>
      </w:r>
      <w:r>
        <w:t xml:space="preserve"> </w:t>
      </w:r>
      <w:r>
        <w:rPr>
          <w:lang w:val="en-AU"/>
        </w:rPr>
        <w:tab/>
        <w:t>As noted in paragraph 875.</w:t>
      </w:r>
    </w:p>
  </w:footnote>
  <w:footnote w:id="17">
    <w:p w14:paraId="5D100A03" w14:textId="77777777" w:rsidR="00EA3DAE" w:rsidRPr="00D20BDE" w:rsidRDefault="00EA3DAE" w:rsidP="00EA3DAE">
      <w:pPr>
        <w:pStyle w:val="FootnoteText"/>
        <w:jc w:val="both"/>
        <w:rPr>
          <w:lang w:val="en-AU"/>
        </w:rPr>
      </w:pPr>
      <w:r>
        <w:rPr>
          <w:rStyle w:val="FootnoteReference"/>
          <w:rFonts w:eastAsiaTheme="majorEastAsia"/>
        </w:rPr>
        <w:footnoteRef/>
      </w:r>
      <w:r>
        <w:t xml:space="preserve"> </w:t>
      </w:r>
      <w:r>
        <w:rPr>
          <w:lang w:val="en-AU"/>
        </w:rPr>
        <w:tab/>
        <w:t>Elsewhere I have defined ‘suitable’, as, ‘collectively, the propriety of phenomenal-phenomenological encounters, the appropriateness of hermeneutical recognitions, and, the appositeness of non-systematic existential engagements’. Basically, how a critical-existential philosophy should be economically configured.</w:t>
      </w:r>
    </w:p>
  </w:footnote>
  <w:footnote w:id="18">
    <w:p w14:paraId="4B5D0BA0" w14:textId="77777777" w:rsidR="00EA3DAE" w:rsidRPr="00BE6BF5" w:rsidRDefault="00EA3DAE" w:rsidP="00EA3DAE">
      <w:pPr>
        <w:pStyle w:val="FootnoteText"/>
        <w:jc w:val="both"/>
        <w:rPr>
          <w:lang w:val="en-AU"/>
        </w:rPr>
      </w:pPr>
      <w:r>
        <w:rPr>
          <w:rStyle w:val="FootnoteReference"/>
          <w:rFonts w:eastAsiaTheme="majorEastAsia"/>
        </w:rPr>
        <w:footnoteRef/>
      </w:r>
      <w:r>
        <w:t xml:space="preserve"> </w:t>
      </w:r>
      <w:r>
        <w:rPr>
          <w:lang w:val="en-AU"/>
        </w:rPr>
        <w:tab/>
        <w:t>Merely looking like the same person is not good enough for how, then, would we be able to differentiate identical twins not in the same room together.</w:t>
      </w:r>
    </w:p>
  </w:footnote>
  <w:footnote w:id="19">
    <w:p w14:paraId="4B93E09A" w14:textId="77777777" w:rsidR="00EA3DAE" w:rsidRPr="00DA31FD" w:rsidRDefault="00EA3DAE" w:rsidP="00EA3DAE">
      <w:pPr>
        <w:pStyle w:val="FootnoteText"/>
        <w:jc w:val="both"/>
        <w:rPr>
          <w:lang w:val="en-AU"/>
        </w:rPr>
      </w:pPr>
      <w:r>
        <w:rPr>
          <w:rStyle w:val="FootnoteReference"/>
          <w:rFonts w:eastAsiaTheme="majorEastAsia"/>
        </w:rPr>
        <w:footnoteRef/>
      </w:r>
      <w:r>
        <w:t xml:space="preserve"> </w:t>
      </w:r>
      <w:r>
        <w:rPr>
          <w:lang w:val="en-AU"/>
        </w:rPr>
        <w:tab/>
        <w:t>Truly devastating when systematically applied because absolutistically constructed concepts, etc., cannot be entertained… since all significance is economic (in the sense of this term as already defined, i.e., as tripolar/trimodal in constitution, etc.).</w:t>
      </w:r>
    </w:p>
  </w:footnote>
  <w:footnote w:id="20">
    <w:p w14:paraId="031C47DE" w14:textId="77777777" w:rsidR="00EA3DAE" w:rsidRPr="00D633FE" w:rsidRDefault="00EA3DAE" w:rsidP="00EA3DAE">
      <w:pPr>
        <w:pStyle w:val="FootnoteText"/>
        <w:rPr>
          <w:lang w:val="en-AU"/>
        </w:rPr>
      </w:pPr>
      <w:r>
        <w:rPr>
          <w:rStyle w:val="FootnoteReference"/>
          <w:rFonts w:eastAsiaTheme="majorEastAsia"/>
        </w:rPr>
        <w:footnoteRef/>
      </w:r>
      <w:r>
        <w:t xml:space="preserve"> </w:t>
      </w:r>
      <w:r>
        <w:rPr>
          <w:lang w:val="en-AU"/>
        </w:rPr>
        <w:tab/>
        <w:t>The aspirational economy is introduced in paragraph 883.</w:t>
      </w:r>
    </w:p>
  </w:footnote>
  <w:footnote w:id="21">
    <w:p w14:paraId="6EFDD3E8" w14:textId="77777777" w:rsidR="00EA3DAE" w:rsidRPr="00AD39D2" w:rsidRDefault="00EA3DAE" w:rsidP="00EA3DAE">
      <w:pPr>
        <w:pStyle w:val="FootnoteText"/>
        <w:jc w:val="both"/>
        <w:rPr>
          <w:lang w:val="en-AU"/>
        </w:rPr>
      </w:pPr>
      <w:r>
        <w:rPr>
          <w:rStyle w:val="FootnoteReference"/>
          <w:rFonts w:eastAsiaTheme="majorEastAsia"/>
        </w:rPr>
        <w:footnoteRef/>
      </w:r>
      <w:r>
        <w:t xml:space="preserve"> </w:t>
      </w:r>
      <w:r>
        <w:rPr>
          <w:lang w:val="en-AU"/>
        </w:rPr>
        <w:tab/>
        <w:t>Of course, such goals are also analytically defined. So, we ‘finish’ our time at university in either ‘failing to obtain our qualifications’ or in ‘actually obtaining such qualifications’ (or, perhaps somewhere in between).</w:t>
      </w:r>
    </w:p>
  </w:footnote>
  <w:footnote w:id="22">
    <w:p w14:paraId="1AB75755" w14:textId="77777777" w:rsidR="00EA3DAE" w:rsidRPr="00002C77" w:rsidRDefault="00EA3DAE" w:rsidP="00EA3DAE">
      <w:pPr>
        <w:pStyle w:val="FootnoteText"/>
        <w:rPr>
          <w:lang w:val="en-AU"/>
        </w:rPr>
      </w:pPr>
      <w:r>
        <w:rPr>
          <w:rStyle w:val="FootnoteReference"/>
          <w:rFonts w:eastAsiaTheme="majorEastAsia"/>
        </w:rPr>
        <w:footnoteRef/>
      </w:r>
      <w:r>
        <w:t xml:space="preserve"> </w:t>
      </w:r>
      <w:r>
        <w:rPr>
          <w:lang w:val="en-AU"/>
        </w:rPr>
        <w:tab/>
        <w:t>Paragraph 887.</w:t>
      </w:r>
    </w:p>
  </w:footnote>
  <w:footnote w:id="23">
    <w:p w14:paraId="069E1F97" w14:textId="77777777" w:rsidR="00EA3DAE" w:rsidRPr="003D1656" w:rsidRDefault="00EA3DAE" w:rsidP="00EA3DAE">
      <w:pPr>
        <w:pStyle w:val="FootnoteText"/>
        <w:jc w:val="both"/>
        <w:rPr>
          <w:lang w:val="en-AU"/>
        </w:rPr>
      </w:pPr>
      <w:r>
        <w:rPr>
          <w:rStyle w:val="FootnoteReference"/>
          <w:rFonts w:eastAsiaTheme="majorEastAsia"/>
        </w:rPr>
        <w:footnoteRef/>
      </w:r>
      <w:r>
        <w:t xml:space="preserve"> </w:t>
      </w:r>
      <w:r>
        <w:rPr>
          <w:lang w:val="en-AU"/>
        </w:rPr>
        <w:tab/>
      </w:r>
      <w:r w:rsidRPr="003D1656">
        <w:t xml:space="preserve">As a process of ‘valuational formation’ that encompasses ‘considerations of identity and identification, function and functionality as well as value formation </w:t>
      </w:r>
      <w:r w:rsidRPr="003D1656">
        <w:rPr>
          <w:i/>
          <w:iCs/>
        </w:rPr>
        <w:t>per se</w:t>
      </w:r>
      <w:r w:rsidRPr="003D1656">
        <w:t>’.</w:t>
      </w:r>
      <w:r>
        <w:t xml:space="preserve"> Treating e/valuation as a valuational economy.</w:t>
      </w:r>
    </w:p>
  </w:footnote>
  <w:footnote w:id="24">
    <w:p w14:paraId="7B2E90CF" w14:textId="77777777" w:rsidR="00EA3DAE" w:rsidRPr="00401976" w:rsidRDefault="00EA3DAE" w:rsidP="00EA3DAE">
      <w:pPr>
        <w:pStyle w:val="FootnoteText"/>
        <w:rPr>
          <w:lang w:val="en-AU"/>
        </w:rPr>
      </w:pPr>
      <w:r>
        <w:rPr>
          <w:rStyle w:val="FootnoteReference"/>
          <w:rFonts w:eastAsiaTheme="majorEastAsia"/>
        </w:rPr>
        <w:footnoteRef/>
      </w:r>
      <w:r>
        <w:t xml:space="preserve"> </w:t>
      </w:r>
      <w:r>
        <w:rPr>
          <w:lang w:val="en-AU"/>
        </w:rPr>
        <w:tab/>
        <w:t>Paragraph 890.</w:t>
      </w:r>
    </w:p>
  </w:footnote>
  <w:footnote w:id="25">
    <w:p w14:paraId="447654CD" w14:textId="77777777" w:rsidR="00EA3DAE" w:rsidRPr="009B38E8" w:rsidRDefault="00EA3DAE" w:rsidP="00EA3DAE">
      <w:pPr>
        <w:pStyle w:val="FootnoteText"/>
        <w:rPr>
          <w:lang w:val="en-AU"/>
        </w:rPr>
      </w:pPr>
      <w:r>
        <w:rPr>
          <w:rStyle w:val="FootnoteReference"/>
          <w:rFonts w:eastAsiaTheme="majorEastAsia"/>
        </w:rPr>
        <w:footnoteRef/>
      </w:r>
      <w:r>
        <w:t xml:space="preserve"> </w:t>
      </w:r>
      <w:r>
        <w:rPr>
          <w:lang w:val="en-AU"/>
        </w:rPr>
        <w:tab/>
        <w:t>I.e., the extended suspension (as defined elsewhere as an ‘extended overall transcendental suspension’).</w:t>
      </w:r>
    </w:p>
  </w:footnote>
  <w:footnote w:id="26">
    <w:p w14:paraId="0AA02334" w14:textId="77777777" w:rsidR="00EA3DAE" w:rsidRPr="00AD0B74" w:rsidRDefault="00EA3DAE" w:rsidP="00EA3DAE">
      <w:pPr>
        <w:pStyle w:val="FootnoteText"/>
        <w:rPr>
          <w:lang w:val="en-AU"/>
        </w:rPr>
      </w:pPr>
      <w:r>
        <w:rPr>
          <w:rStyle w:val="FootnoteReference"/>
          <w:rFonts w:eastAsiaTheme="majorEastAsia"/>
        </w:rPr>
        <w:footnoteRef/>
      </w:r>
      <w:r>
        <w:t xml:space="preserve"> </w:t>
      </w:r>
      <w:r>
        <w:rPr>
          <w:lang w:val="en-AU"/>
        </w:rPr>
        <w:tab/>
        <w:t>Passively defined elsewhere as its ‘ambit’, and, dynamically defined as its ‘remit’.</w:t>
      </w:r>
    </w:p>
  </w:footnote>
  <w:footnote w:id="27">
    <w:p w14:paraId="3C73367E" w14:textId="77777777" w:rsidR="00EA3DAE" w:rsidRPr="009418FF" w:rsidRDefault="00EA3DAE" w:rsidP="00EA3DAE">
      <w:pPr>
        <w:pStyle w:val="FootnoteText"/>
        <w:jc w:val="both"/>
        <w:rPr>
          <w:lang w:val="en-AU"/>
        </w:rPr>
      </w:pPr>
      <w:r>
        <w:rPr>
          <w:rStyle w:val="FootnoteReference"/>
          <w:rFonts w:eastAsiaTheme="majorEastAsia"/>
        </w:rPr>
        <w:footnoteRef/>
      </w:r>
      <w:r>
        <w:t xml:space="preserve"> </w:t>
      </w:r>
      <w:r>
        <w:rPr>
          <w:lang w:val="en-AU"/>
        </w:rPr>
        <w:tab/>
        <w:t>As explored outside this section, the ‘extended suspension; as the ‘extended overall transcendental suspension’ consists of three economic moments, namely, the overall suspension, its de-suspension and the balanced suspension of the former. The ‘overall suspension being a product of three different suspensions, namely, a metaphorical suspension, a rhetorical suspension and the balanced suspension of the former’.</w:t>
      </w:r>
    </w:p>
  </w:footnote>
  <w:footnote w:id="28">
    <w:p w14:paraId="2AFE46E2" w14:textId="77777777" w:rsidR="00EA3DAE" w:rsidRPr="000609C0" w:rsidRDefault="00EA3DAE" w:rsidP="00EA3DAE">
      <w:pPr>
        <w:pStyle w:val="FootnoteText"/>
        <w:jc w:val="both"/>
        <w:rPr>
          <w:lang w:val="en-AU"/>
        </w:rPr>
      </w:pPr>
      <w:r>
        <w:rPr>
          <w:rStyle w:val="FootnoteReference"/>
          <w:rFonts w:eastAsiaTheme="majorEastAsia"/>
        </w:rPr>
        <w:footnoteRef/>
      </w:r>
      <w:r>
        <w:t xml:space="preserve"> </w:t>
      </w:r>
      <w:r>
        <w:rPr>
          <w:lang w:val="en-AU"/>
        </w:rPr>
        <w:tab/>
        <w:t>In existential addressing and redressing the situatedness of a relationship, solutions for resolution are relatively ‘better’ rather than being absolutistically declared as ‘best’. It may well be that the very best has successfully eluded us. What is more important is the comparative positivity in ensuing e/valuational formation. Indeed, in the same type of situation different solutions may well have to be proposed when considering, e.g., if it were the case that different people were to be found embedded in that same type of relationship and were to be placed under very similar circumstances, etc. Implying a form of situational ethics.</w:t>
      </w:r>
    </w:p>
  </w:footnote>
  <w:footnote w:id="29">
    <w:p w14:paraId="77F20E09" w14:textId="77777777" w:rsidR="00EA3DAE" w:rsidRPr="000609C0" w:rsidRDefault="00EA3DAE" w:rsidP="00EA3DAE">
      <w:pPr>
        <w:pStyle w:val="FootnoteText"/>
        <w:jc w:val="both"/>
        <w:rPr>
          <w:lang w:val="en-AU"/>
        </w:rPr>
      </w:pPr>
      <w:r>
        <w:rPr>
          <w:rStyle w:val="FootnoteReference"/>
          <w:rFonts w:eastAsiaTheme="majorEastAsia"/>
        </w:rPr>
        <w:footnoteRef/>
      </w:r>
      <w:r>
        <w:t xml:space="preserve"> </w:t>
      </w:r>
      <w:r>
        <w:rPr>
          <w:lang w:val="en-AU"/>
        </w:rPr>
        <w:tab/>
        <w:t>Alluding to arguments, cited elsewhere, that note that ‘existentialization is of the relatively non-existential and never the relatively existential’. Conversely, ‘de-existentialization is of the relatively existential (just as, e.g., the relative goodness of an apple is lost through decay over time)’.</w:t>
      </w:r>
    </w:p>
  </w:footnote>
  <w:footnote w:id="30">
    <w:p w14:paraId="1C11697B" w14:textId="77777777" w:rsidR="00EA3DAE" w:rsidRPr="002B6CB1" w:rsidRDefault="00EA3DAE" w:rsidP="00EA3DAE">
      <w:pPr>
        <w:pStyle w:val="FootnoteText"/>
        <w:jc w:val="both"/>
        <w:rPr>
          <w:lang w:val="en-AU"/>
        </w:rPr>
      </w:pPr>
      <w:r>
        <w:rPr>
          <w:rStyle w:val="FootnoteReference"/>
          <w:rFonts w:eastAsiaTheme="majorEastAsia"/>
        </w:rPr>
        <w:footnoteRef/>
      </w:r>
      <w:r>
        <w:t xml:space="preserve"> </w:t>
      </w:r>
      <w:r>
        <w:rPr>
          <w:lang w:val="en-AU"/>
        </w:rPr>
        <w:tab/>
        <w:t xml:space="preserve">This tenth section in </w:t>
      </w:r>
      <w:r w:rsidRPr="00293D13">
        <w:rPr>
          <w:i/>
          <w:iCs/>
          <w:lang w:val="en-AU"/>
        </w:rPr>
        <w:t>The Pursuit of Philosophy as a Discipline</w:t>
      </w:r>
      <w:r>
        <w:rPr>
          <w:lang w:val="en-AU"/>
        </w:rPr>
        <w:t>, Volume II, was written to be presented to The Continental Philosophy Group in June, 2020; (N.K.T., Wentworth Fall, 14.5.20).</w:t>
      </w:r>
    </w:p>
  </w:footnote>
  <w:footnote w:id="31">
    <w:p w14:paraId="6308510C" w14:textId="77777777" w:rsidR="00EA3DAE" w:rsidRPr="000609C0" w:rsidRDefault="00EA3DAE" w:rsidP="00EA3DAE">
      <w:pPr>
        <w:pStyle w:val="FootnoteText"/>
        <w:jc w:val="both"/>
        <w:rPr>
          <w:lang w:val="en-AU"/>
        </w:rPr>
      </w:pPr>
      <w:r>
        <w:rPr>
          <w:rStyle w:val="FootnoteReference"/>
          <w:rFonts w:eastAsiaTheme="majorEastAsia"/>
        </w:rPr>
        <w:footnoteRef/>
      </w:r>
      <w:r>
        <w:t xml:space="preserve"> </w:t>
      </w:r>
      <w:r>
        <w:rPr>
          <w:lang w:val="en-AU"/>
        </w:rPr>
        <w:tab/>
        <w:t>Valuational formation is seen by me to be broader than mere value formation by including considerations of identity or identification, and function or functionality.</w:t>
      </w:r>
    </w:p>
  </w:footnote>
  <w:footnote w:id="32">
    <w:p w14:paraId="511A307F" w14:textId="77777777" w:rsidR="00EA3DAE" w:rsidRPr="00801C2F" w:rsidRDefault="00EA3DAE" w:rsidP="00EA3DAE">
      <w:pPr>
        <w:pStyle w:val="FootnoteText"/>
        <w:rPr>
          <w:lang w:val="en-AU"/>
        </w:rPr>
      </w:pPr>
      <w:r>
        <w:rPr>
          <w:rStyle w:val="FootnoteReference"/>
          <w:rFonts w:eastAsiaTheme="majorEastAsia"/>
        </w:rPr>
        <w:footnoteRef/>
      </w:r>
      <w:r>
        <w:t xml:space="preserve"> </w:t>
      </w:r>
      <w:r>
        <w:rPr>
          <w:lang w:val="en-AU"/>
        </w:rPr>
        <w:tab/>
        <w:t>Quoting much of paragraph 890. The previous paragraph entirely quoting paragraph 892.</w:t>
      </w:r>
    </w:p>
  </w:footnote>
  <w:footnote w:id="33">
    <w:p w14:paraId="0106FBC4" w14:textId="70F6EE96" w:rsidR="00A2479C" w:rsidRPr="00A2479C" w:rsidRDefault="00A2479C" w:rsidP="00A2479C">
      <w:pPr>
        <w:pStyle w:val="FootnoteText"/>
        <w:jc w:val="both"/>
        <w:rPr>
          <w:lang w:val="en-AU"/>
        </w:rPr>
      </w:pPr>
      <w:r>
        <w:rPr>
          <w:rStyle w:val="FootnoteReference"/>
        </w:rPr>
        <w:footnoteRef/>
      </w:r>
      <w:r>
        <w:t xml:space="preserve"> </w:t>
      </w:r>
      <w:r>
        <w:rPr>
          <w:lang w:val="en-AU"/>
        </w:rPr>
        <w:tab/>
        <w:t>In continuing to live with such questions, I now see a difference between ‘the philosophical-disciplinary and compactual (existentially oriented) economy’ and ‘the secular economy’ in parallel with ‘the aspirational economy that is also aspirational and contractually oriented’. Linking both economies through the hexa-modal nature of an ordered economy (and where the tri-modal nature of the economic is restored by viewing the ordered ‘economy’ as a product of the resonance between ‘the philosophical-disciplinary economy, the secular economy, and the philosophical-disciplinary-and-secular economy)’</w:t>
      </w:r>
      <w:r w:rsidR="00AD62DC">
        <w:rPr>
          <w:lang w:val="en-A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182383"/>
      <w:docPartObj>
        <w:docPartGallery w:val="Page Numbers (Top of Page)"/>
        <w:docPartUnique/>
      </w:docPartObj>
    </w:sdtPr>
    <w:sdtEndPr>
      <w:rPr>
        <w:noProof/>
      </w:rPr>
    </w:sdtEndPr>
    <w:sdtContent>
      <w:p w14:paraId="001FD5A9" w14:textId="20E82A46" w:rsidR="00F36F51" w:rsidRDefault="00F36F5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2B5D0D" w14:textId="77777777" w:rsidR="008C6494" w:rsidRDefault="008C64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CE1"/>
    <w:rsid w:val="001545A9"/>
    <w:rsid w:val="002806CF"/>
    <w:rsid w:val="002D2CA0"/>
    <w:rsid w:val="0045651F"/>
    <w:rsid w:val="00710FC5"/>
    <w:rsid w:val="00874AEA"/>
    <w:rsid w:val="008C6494"/>
    <w:rsid w:val="00932929"/>
    <w:rsid w:val="009C2DF2"/>
    <w:rsid w:val="00A2479C"/>
    <w:rsid w:val="00A848B8"/>
    <w:rsid w:val="00AD62DC"/>
    <w:rsid w:val="00B17CE1"/>
    <w:rsid w:val="00B9009B"/>
    <w:rsid w:val="00D42CD4"/>
    <w:rsid w:val="00EA3DAE"/>
    <w:rsid w:val="00F36F51"/>
    <w:rsid w:val="00F475E1"/>
    <w:rsid w:val="00FA1F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A2853"/>
  <w15:chartTrackingRefBased/>
  <w15:docId w15:val="{892AC0C5-F7FB-4CB3-AFD5-04FCB027B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DAE"/>
    <w:pPr>
      <w:spacing w:after="0" w:line="240" w:lineRule="auto"/>
    </w:pPr>
    <w:rPr>
      <w:rFonts w:ascii="Times New Roman" w:eastAsia="Times New Roman" w:hAnsi="Times New Roman" w:cs="Times New Roman"/>
      <w:kern w:val="0"/>
      <w:sz w:val="20"/>
      <w:szCs w:val="20"/>
      <w:lang w:val="en-US" w:eastAsia="en-AU"/>
      <w14:ligatures w14:val="none"/>
    </w:rPr>
  </w:style>
  <w:style w:type="paragraph" w:styleId="Heading1">
    <w:name w:val="heading 1"/>
    <w:basedOn w:val="Normal"/>
    <w:next w:val="Normal"/>
    <w:link w:val="Heading1Char"/>
    <w:uiPriority w:val="9"/>
    <w:qFormat/>
    <w:rsid w:val="00B17CE1"/>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val="en-AU" w:eastAsia="en-US"/>
      <w14:ligatures w14:val="standardContextual"/>
    </w:rPr>
  </w:style>
  <w:style w:type="paragraph" w:styleId="Heading2">
    <w:name w:val="heading 2"/>
    <w:basedOn w:val="Normal"/>
    <w:next w:val="Normal"/>
    <w:link w:val="Heading2Char"/>
    <w:uiPriority w:val="9"/>
    <w:semiHidden/>
    <w:unhideWhenUsed/>
    <w:qFormat/>
    <w:rsid w:val="00B17CE1"/>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val="en-AU" w:eastAsia="en-US"/>
      <w14:ligatures w14:val="standardContextual"/>
    </w:rPr>
  </w:style>
  <w:style w:type="paragraph" w:styleId="Heading3">
    <w:name w:val="heading 3"/>
    <w:basedOn w:val="Normal"/>
    <w:next w:val="Normal"/>
    <w:link w:val="Heading3Char"/>
    <w:uiPriority w:val="9"/>
    <w:semiHidden/>
    <w:unhideWhenUsed/>
    <w:qFormat/>
    <w:rsid w:val="00B17CE1"/>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val="en-AU" w:eastAsia="en-US"/>
      <w14:ligatures w14:val="standardContextual"/>
    </w:rPr>
  </w:style>
  <w:style w:type="paragraph" w:styleId="Heading4">
    <w:name w:val="heading 4"/>
    <w:basedOn w:val="Normal"/>
    <w:next w:val="Normal"/>
    <w:link w:val="Heading4Char"/>
    <w:uiPriority w:val="9"/>
    <w:semiHidden/>
    <w:unhideWhenUsed/>
    <w:qFormat/>
    <w:rsid w:val="00B17CE1"/>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val="en-AU" w:eastAsia="en-US"/>
      <w14:ligatures w14:val="standardContextual"/>
    </w:rPr>
  </w:style>
  <w:style w:type="paragraph" w:styleId="Heading5">
    <w:name w:val="heading 5"/>
    <w:basedOn w:val="Normal"/>
    <w:next w:val="Normal"/>
    <w:link w:val="Heading5Char"/>
    <w:uiPriority w:val="9"/>
    <w:semiHidden/>
    <w:unhideWhenUsed/>
    <w:qFormat/>
    <w:rsid w:val="00B17CE1"/>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val="en-AU" w:eastAsia="en-US"/>
      <w14:ligatures w14:val="standardContextual"/>
    </w:rPr>
  </w:style>
  <w:style w:type="paragraph" w:styleId="Heading6">
    <w:name w:val="heading 6"/>
    <w:basedOn w:val="Normal"/>
    <w:next w:val="Normal"/>
    <w:link w:val="Heading6Char"/>
    <w:uiPriority w:val="9"/>
    <w:semiHidden/>
    <w:unhideWhenUsed/>
    <w:qFormat/>
    <w:rsid w:val="00B17CE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AU" w:eastAsia="en-US"/>
      <w14:ligatures w14:val="standardContextual"/>
    </w:rPr>
  </w:style>
  <w:style w:type="paragraph" w:styleId="Heading7">
    <w:name w:val="heading 7"/>
    <w:basedOn w:val="Normal"/>
    <w:next w:val="Normal"/>
    <w:link w:val="Heading7Char"/>
    <w:uiPriority w:val="9"/>
    <w:semiHidden/>
    <w:unhideWhenUsed/>
    <w:qFormat/>
    <w:rsid w:val="00B17CE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AU" w:eastAsia="en-US"/>
      <w14:ligatures w14:val="standardContextual"/>
    </w:rPr>
  </w:style>
  <w:style w:type="paragraph" w:styleId="Heading8">
    <w:name w:val="heading 8"/>
    <w:basedOn w:val="Normal"/>
    <w:next w:val="Normal"/>
    <w:link w:val="Heading8Char"/>
    <w:uiPriority w:val="9"/>
    <w:semiHidden/>
    <w:unhideWhenUsed/>
    <w:qFormat/>
    <w:rsid w:val="00B17CE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AU" w:eastAsia="en-US"/>
      <w14:ligatures w14:val="standardContextual"/>
    </w:rPr>
  </w:style>
  <w:style w:type="paragraph" w:styleId="Heading9">
    <w:name w:val="heading 9"/>
    <w:basedOn w:val="Normal"/>
    <w:next w:val="Normal"/>
    <w:link w:val="Heading9Char"/>
    <w:uiPriority w:val="9"/>
    <w:semiHidden/>
    <w:unhideWhenUsed/>
    <w:qFormat/>
    <w:rsid w:val="00B17CE1"/>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AU"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CE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17CE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17CE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17CE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17CE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17C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C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C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CE1"/>
    <w:rPr>
      <w:rFonts w:eastAsiaTheme="majorEastAsia" w:cstheme="majorBidi"/>
      <w:color w:val="272727" w:themeColor="text1" w:themeTint="D8"/>
    </w:rPr>
  </w:style>
  <w:style w:type="paragraph" w:styleId="Title">
    <w:name w:val="Title"/>
    <w:basedOn w:val="Normal"/>
    <w:next w:val="Normal"/>
    <w:link w:val="TitleChar"/>
    <w:uiPriority w:val="10"/>
    <w:qFormat/>
    <w:rsid w:val="00B17CE1"/>
    <w:pPr>
      <w:spacing w:after="80"/>
      <w:contextualSpacing/>
    </w:pPr>
    <w:rPr>
      <w:rFonts w:asciiTheme="majorHAnsi" w:eastAsiaTheme="majorEastAsia" w:hAnsiTheme="majorHAnsi" w:cstheme="majorBidi"/>
      <w:spacing w:val="-10"/>
      <w:kern w:val="28"/>
      <w:sz w:val="56"/>
      <w:szCs w:val="56"/>
      <w:lang w:val="en-AU" w:eastAsia="en-US"/>
      <w14:ligatures w14:val="standardContextual"/>
    </w:rPr>
  </w:style>
  <w:style w:type="character" w:customStyle="1" w:styleId="TitleChar">
    <w:name w:val="Title Char"/>
    <w:basedOn w:val="DefaultParagraphFont"/>
    <w:link w:val="Title"/>
    <w:uiPriority w:val="10"/>
    <w:rsid w:val="00B17C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CE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AU" w:eastAsia="en-US"/>
      <w14:ligatures w14:val="standardContextual"/>
    </w:rPr>
  </w:style>
  <w:style w:type="character" w:customStyle="1" w:styleId="SubtitleChar">
    <w:name w:val="Subtitle Char"/>
    <w:basedOn w:val="DefaultParagraphFont"/>
    <w:link w:val="Subtitle"/>
    <w:uiPriority w:val="11"/>
    <w:rsid w:val="00B17C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CE1"/>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AU" w:eastAsia="en-US"/>
      <w14:ligatures w14:val="standardContextual"/>
    </w:rPr>
  </w:style>
  <w:style w:type="character" w:customStyle="1" w:styleId="QuoteChar">
    <w:name w:val="Quote Char"/>
    <w:basedOn w:val="DefaultParagraphFont"/>
    <w:link w:val="Quote"/>
    <w:uiPriority w:val="29"/>
    <w:rsid w:val="00B17CE1"/>
    <w:rPr>
      <w:i/>
      <w:iCs/>
      <w:color w:val="404040" w:themeColor="text1" w:themeTint="BF"/>
    </w:rPr>
  </w:style>
  <w:style w:type="paragraph" w:styleId="ListParagraph">
    <w:name w:val="List Paragraph"/>
    <w:basedOn w:val="Normal"/>
    <w:uiPriority w:val="34"/>
    <w:qFormat/>
    <w:rsid w:val="00B17CE1"/>
    <w:pPr>
      <w:spacing w:after="160" w:line="259" w:lineRule="auto"/>
      <w:ind w:left="720"/>
      <w:contextualSpacing/>
    </w:pPr>
    <w:rPr>
      <w:rFonts w:asciiTheme="minorHAnsi" w:eastAsiaTheme="minorHAnsi" w:hAnsiTheme="minorHAnsi" w:cstheme="minorBidi"/>
      <w:kern w:val="2"/>
      <w:sz w:val="22"/>
      <w:szCs w:val="22"/>
      <w:lang w:val="en-AU" w:eastAsia="en-US"/>
      <w14:ligatures w14:val="standardContextual"/>
    </w:rPr>
  </w:style>
  <w:style w:type="character" w:styleId="IntenseEmphasis">
    <w:name w:val="Intense Emphasis"/>
    <w:basedOn w:val="DefaultParagraphFont"/>
    <w:uiPriority w:val="21"/>
    <w:qFormat/>
    <w:rsid w:val="00B17CE1"/>
    <w:rPr>
      <w:i/>
      <w:iCs/>
      <w:color w:val="2E74B5" w:themeColor="accent1" w:themeShade="BF"/>
    </w:rPr>
  </w:style>
  <w:style w:type="paragraph" w:styleId="IntenseQuote">
    <w:name w:val="Intense Quote"/>
    <w:basedOn w:val="Normal"/>
    <w:next w:val="Normal"/>
    <w:link w:val="IntenseQuoteChar"/>
    <w:uiPriority w:val="30"/>
    <w:qFormat/>
    <w:rsid w:val="00B17CE1"/>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val="en-AU" w:eastAsia="en-US"/>
      <w14:ligatures w14:val="standardContextual"/>
    </w:rPr>
  </w:style>
  <w:style w:type="character" w:customStyle="1" w:styleId="IntenseQuoteChar">
    <w:name w:val="Intense Quote Char"/>
    <w:basedOn w:val="DefaultParagraphFont"/>
    <w:link w:val="IntenseQuote"/>
    <w:uiPriority w:val="30"/>
    <w:rsid w:val="00B17CE1"/>
    <w:rPr>
      <w:i/>
      <w:iCs/>
      <w:color w:val="2E74B5" w:themeColor="accent1" w:themeShade="BF"/>
    </w:rPr>
  </w:style>
  <w:style w:type="character" w:styleId="IntenseReference">
    <w:name w:val="Intense Reference"/>
    <w:basedOn w:val="DefaultParagraphFont"/>
    <w:uiPriority w:val="32"/>
    <w:qFormat/>
    <w:rsid w:val="00B17CE1"/>
    <w:rPr>
      <w:b/>
      <w:bCs/>
      <w:smallCaps/>
      <w:color w:val="2E74B5" w:themeColor="accent1" w:themeShade="BF"/>
      <w:spacing w:val="5"/>
    </w:rPr>
  </w:style>
  <w:style w:type="paragraph" w:styleId="FootnoteText">
    <w:name w:val="footnote text"/>
    <w:basedOn w:val="Normal"/>
    <w:link w:val="FootnoteTextChar"/>
    <w:semiHidden/>
    <w:rsid w:val="00EA3DAE"/>
  </w:style>
  <w:style w:type="character" w:customStyle="1" w:styleId="FootnoteTextChar">
    <w:name w:val="Footnote Text Char"/>
    <w:basedOn w:val="DefaultParagraphFont"/>
    <w:link w:val="FootnoteText"/>
    <w:semiHidden/>
    <w:rsid w:val="00EA3DAE"/>
    <w:rPr>
      <w:rFonts w:ascii="Times New Roman" w:eastAsia="Times New Roman" w:hAnsi="Times New Roman" w:cs="Times New Roman"/>
      <w:kern w:val="0"/>
      <w:sz w:val="20"/>
      <w:szCs w:val="20"/>
      <w:lang w:val="en-US" w:eastAsia="en-AU"/>
      <w14:ligatures w14:val="none"/>
    </w:rPr>
  </w:style>
  <w:style w:type="character" w:styleId="FootnoteReference">
    <w:name w:val="footnote reference"/>
    <w:semiHidden/>
    <w:rsid w:val="00EA3DAE"/>
    <w:rPr>
      <w:vertAlign w:val="superscript"/>
    </w:rPr>
  </w:style>
  <w:style w:type="character" w:styleId="Hyperlink">
    <w:name w:val="Hyperlink"/>
    <w:unhideWhenUsed/>
    <w:rsid w:val="00EA3DAE"/>
    <w:rPr>
      <w:color w:val="0563C1"/>
      <w:u w:val="single"/>
    </w:rPr>
  </w:style>
  <w:style w:type="paragraph" w:styleId="BodyTextIndent">
    <w:name w:val="Body Text Indent"/>
    <w:basedOn w:val="Normal"/>
    <w:link w:val="BodyTextIndentChar"/>
    <w:unhideWhenUsed/>
    <w:rsid w:val="00EA3DAE"/>
    <w:pPr>
      <w:spacing w:after="120"/>
      <w:ind w:left="283"/>
    </w:pPr>
  </w:style>
  <w:style w:type="character" w:customStyle="1" w:styleId="BodyTextIndentChar">
    <w:name w:val="Body Text Indent Char"/>
    <w:basedOn w:val="DefaultParagraphFont"/>
    <w:link w:val="BodyTextIndent"/>
    <w:rsid w:val="00EA3DAE"/>
    <w:rPr>
      <w:rFonts w:ascii="Times New Roman" w:eastAsia="Times New Roman" w:hAnsi="Times New Roman" w:cs="Times New Roman"/>
      <w:kern w:val="0"/>
      <w:sz w:val="20"/>
      <w:szCs w:val="20"/>
      <w:lang w:val="en-US" w:eastAsia="en-AU"/>
      <w14:ligatures w14:val="none"/>
    </w:rPr>
  </w:style>
  <w:style w:type="paragraph" w:styleId="Header">
    <w:name w:val="header"/>
    <w:basedOn w:val="Normal"/>
    <w:link w:val="HeaderChar"/>
    <w:uiPriority w:val="99"/>
    <w:unhideWhenUsed/>
    <w:rsid w:val="008C6494"/>
    <w:pPr>
      <w:tabs>
        <w:tab w:val="center" w:pos="4513"/>
        <w:tab w:val="right" w:pos="9026"/>
      </w:tabs>
    </w:pPr>
  </w:style>
  <w:style w:type="character" w:customStyle="1" w:styleId="HeaderChar">
    <w:name w:val="Header Char"/>
    <w:basedOn w:val="DefaultParagraphFont"/>
    <w:link w:val="Header"/>
    <w:uiPriority w:val="99"/>
    <w:rsid w:val="008C6494"/>
    <w:rPr>
      <w:rFonts w:ascii="Times New Roman" w:eastAsia="Times New Roman" w:hAnsi="Times New Roman" w:cs="Times New Roman"/>
      <w:kern w:val="0"/>
      <w:sz w:val="20"/>
      <w:szCs w:val="20"/>
      <w:lang w:val="en-US" w:eastAsia="en-AU"/>
      <w14:ligatures w14:val="none"/>
    </w:rPr>
  </w:style>
  <w:style w:type="paragraph" w:styleId="Footer">
    <w:name w:val="footer"/>
    <w:basedOn w:val="Normal"/>
    <w:link w:val="FooterChar"/>
    <w:uiPriority w:val="99"/>
    <w:unhideWhenUsed/>
    <w:rsid w:val="008C6494"/>
    <w:pPr>
      <w:tabs>
        <w:tab w:val="center" w:pos="4513"/>
        <w:tab w:val="right" w:pos="9026"/>
      </w:tabs>
    </w:pPr>
  </w:style>
  <w:style w:type="character" w:customStyle="1" w:styleId="FooterChar">
    <w:name w:val="Footer Char"/>
    <w:basedOn w:val="DefaultParagraphFont"/>
    <w:link w:val="Footer"/>
    <w:uiPriority w:val="99"/>
    <w:rsid w:val="008C6494"/>
    <w:rPr>
      <w:rFonts w:ascii="Times New Roman" w:eastAsia="Times New Roman" w:hAnsi="Times New Roman" w:cs="Times New Roman"/>
      <w:kern w:val="0"/>
      <w:sz w:val="20"/>
      <w:szCs w:val="20"/>
      <w:lang w:val="en-US"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homestead.com/noelshomepage/noels%20homepage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2921D-0918-403F-AE7C-6697BA349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14</Pages>
  <Words>6187</Words>
  <Characters>35270</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PenFreeNet01</dc:creator>
  <cp:keywords/>
  <dc:description/>
  <cp:lastModifiedBy>PenFreeNet01</cp:lastModifiedBy>
  <cp:revision>5</cp:revision>
  <dcterms:created xsi:type="dcterms:W3CDTF">2026-08-24T05:15:00Z</dcterms:created>
  <dcterms:modified xsi:type="dcterms:W3CDTF">2026-08-26T04:14:00Z</dcterms:modified>
</cp:coreProperties>
</file>