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A53204" w14:textId="77777777" w:rsidR="00A2008F" w:rsidRDefault="00100106" w:rsidP="00331C1D">
      <w:pPr>
        <w:jc w:val="center"/>
        <w:rPr>
          <w:rFonts w:ascii="Times New Roman" w:hAnsi="Times New Roman" w:cs="Times New Roman"/>
          <w:b/>
          <w:sz w:val="28"/>
          <w:szCs w:val="28"/>
        </w:rPr>
      </w:pPr>
      <w:bookmarkStart w:id="0" w:name="_GoBack"/>
      <w:r w:rsidRPr="00A2008F">
        <w:rPr>
          <w:rFonts w:ascii="Times New Roman" w:hAnsi="Times New Roman" w:cs="Times New Roman"/>
          <w:b/>
          <w:sz w:val="28"/>
          <w:szCs w:val="28"/>
        </w:rPr>
        <w:t xml:space="preserve">Third Essay: </w:t>
      </w:r>
    </w:p>
    <w:p w14:paraId="14F617A3" w14:textId="4B9B0F42" w:rsidR="00100106" w:rsidRPr="00A2008F" w:rsidRDefault="0070786E" w:rsidP="00331C1D">
      <w:pPr>
        <w:jc w:val="center"/>
        <w:rPr>
          <w:rFonts w:ascii="Times New Roman" w:hAnsi="Times New Roman" w:cs="Times New Roman"/>
          <w:b/>
          <w:sz w:val="28"/>
          <w:szCs w:val="28"/>
        </w:rPr>
      </w:pPr>
      <w:r w:rsidRPr="00A2008F">
        <w:rPr>
          <w:rFonts w:ascii="Times New Roman" w:hAnsi="Times New Roman" w:cs="Times New Roman"/>
          <w:b/>
          <w:sz w:val="28"/>
          <w:szCs w:val="28"/>
        </w:rPr>
        <w:t>The Philosophy of Intentionality and the Intentionality of Philosophy</w:t>
      </w:r>
    </w:p>
    <w:p w14:paraId="3FF594B8" w14:textId="31CE5F15" w:rsidR="00100106" w:rsidRDefault="0070786E" w:rsidP="00100106">
      <w:pPr>
        <w:ind w:firstLine="720"/>
        <w:jc w:val="both"/>
        <w:rPr>
          <w:rFonts w:ascii="Times New Roman" w:hAnsi="Times New Roman" w:cs="Times New Roman"/>
          <w:sz w:val="24"/>
          <w:szCs w:val="24"/>
        </w:rPr>
      </w:pPr>
      <w:r w:rsidRPr="0070786E">
        <w:rPr>
          <w:rFonts w:ascii="Times New Roman" w:hAnsi="Times New Roman" w:cs="Times New Roman"/>
          <w:sz w:val="24"/>
          <w:szCs w:val="24"/>
        </w:rPr>
        <w:t xml:space="preserve">My intuition tells me that the </w:t>
      </w:r>
      <w:proofErr w:type="spellStart"/>
      <w:r w:rsidRPr="0070786E">
        <w:rPr>
          <w:rFonts w:ascii="Times New Roman" w:hAnsi="Times New Roman" w:cs="Times New Roman"/>
          <w:sz w:val="24"/>
          <w:szCs w:val="24"/>
        </w:rPr>
        <w:t>contra</w:t>
      </w:r>
      <w:r w:rsidR="00100106">
        <w:rPr>
          <w:rFonts w:ascii="Times New Roman" w:hAnsi="Times New Roman" w:cs="Times New Roman"/>
          <w:sz w:val="24"/>
          <w:szCs w:val="24"/>
        </w:rPr>
        <w:t>grammat</w:t>
      </w:r>
      <w:r w:rsidRPr="0070786E">
        <w:rPr>
          <w:rFonts w:ascii="Times New Roman" w:hAnsi="Times New Roman" w:cs="Times New Roman"/>
          <w:sz w:val="24"/>
          <w:szCs w:val="24"/>
        </w:rPr>
        <w:t>ical</w:t>
      </w:r>
      <w:proofErr w:type="spellEnd"/>
      <w:r w:rsidR="00331C1D">
        <w:rPr>
          <w:rStyle w:val="FootnoteReference"/>
          <w:rFonts w:ascii="Times New Roman" w:hAnsi="Times New Roman" w:cs="Times New Roman"/>
          <w:sz w:val="24"/>
          <w:szCs w:val="24"/>
        </w:rPr>
        <w:footnoteReference w:id="1"/>
      </w:r>
      <w:r w:rsidRPr="0070786E">
        <w:rPr>
          <w:rFonts w:ascii="Times New Roman" w:hAnsi="Times New Roman" w:cs="Times New Roman"/>
          <w:sz w:val="24"/>
          <w:szCs w:val="24"/>
        </w:rPr>
        <w:t xml:space="preserve"> space carved out within this </w:t>
      </w:r>
      <w:proofErr w:type="spellStart"/>
      <w:r w:rsidRPr="0070786E">
        <w:rPr>
          <w:rFonts w:ascii="Times New Roman" w:hAnsi="Times New Roman" w:cs="Times New Roman"/>
          <w:sz w:val="24"/>
          <w:szCs w:val="24"/>
        </w:rPr>
        <w:t>contragram</w:t>
      </w:r>
      <w:proofErr w:type="spellEnd"/>
      <w:r w:rsidRPr="0070786E">
        <w:rPr>
          <w:rFonts w:ascii="Times New Roman" w:hAnsi="Times New Roman" w:cs="Times New Roman"/>
          <w:sz w:val="24"/>
          <w:szCs w:val="24"/>
        </w:rPr>
        <w:t xml:space="preserve"> should enfold the relative entirety of this topic</w:t>
      </w:r>
      <w:r w:rsidR="00C32671">
        <w:rPr>
          <w:rFonts w:ascii="Times New Roman" w:hAnsi="Times New Roman" w:cs="Times New Roman"/>
          <w:sz w:val="24"/>
          <w:szCs w:val="24"/>
        </w:rPr>
        <w:t>… and thence its scope</w:t>
      </w:r>
      <w:r w:rsidRPr="0070786E">
        <w:rPr>
          <w:rFonts w:ascii="Times New Roman" w:hAnsi="Times New Roman" w:cs="Times New Roman"/>
          <w:sz w:val="24"/>
          <w:szCs w:val="24"/>
        </w:rPr>
        <w:t xml:space="preserve">. (0) </w:t>
      </w:r>
    </w:p>
    <w:p w14:paraId="4B572747" w14:textId="77777777" w:rsidR="00100106" w:rsidRDefault="0070786E" w:rsidP="00100106">
      <w:pPr>
        <w:ind w:firstLine="720"/>
        <w:jc w:val="both"/>
        <w:rPr>
          <w:rFonts w:ascii="Times New Roman" w:hAnsi="Times New Roman" w:cs="Times New Roman"/>
          <w:sz w:val="24"/>
          <w:szCs w:val="24"/>
        </w:rPr>
      </w:pPr>
      <w:r w:rsidRPr="0070786E">
        <w:rPr>
          <w:rFonts w:ascii="Times New Roman" w:hAnsi="Times New Roman" w:cs="Times New Roman"/>
          <w:sz w:val="24"/>
          <w:szCs w:val="24"/>
        </w:rPr>
        <w:t>Now</w:t>
      </w:r>
      <w:r w:rsidR="00100106">
        <w:rPr>
          <w:rFonts w:ascii="Times New Roman" w:hAnsi="Times New Roman" w:cs="Times New Roman"/>
          <w:sz w:val="24"/>
          <w:szCs w:val="24"/>
        </w:rPr>
        <w:t>,</w:t>
      </w:r>
      <w:r w:rsidRPr="0070786E">
        <w:rPr>
          <w:rFonts w:ascii="Times New Roman" w:hAnsi="Times New Roman" w:cs="Times New Roman"/>
          <w:sz w:val="24"/>
          <w:szCs w:val="24"/>
        </w:rPr>
        <w:t xml:space="preserve"> the breakup of a relationship sees a set of </w:t>
      </w:r>
      <w:r w:rsidR="00100106">
        <w:rPr>
          <w:rFonts w:ascii="Times New Roman" w:hAnsi="Times New Roman" w:cs="Times New Roman"/>
          <w:sz w:val="24"/>
          <w:szCs w:val="24"/>
        </w:rPr>
        <w:t>relatively unipolar ‘</w:t>
      </w:r>
      <w:r w:rsidRPr="0070786E">
        <w:rPr>
          <w:rFonts w:ascii="Times New Roman" w:hAnsi="Times New Roman" w:cs="Times New Roman"/>
          <w:sz w:val="24"/>
          <w:szCs w:val="24"/>
        </w:rPr>
        <w:t>emissions</w:t>
      </w:r>
      <w:r w:rsidR="00100106">
        <w:rPr>
          <w:rFonts w:ascii="Times New Roman" w:hAnsi="Times New Roman" w:cs="Times New Roman"/>
          <w:sz w:val="24"/>
          <w:szCs w:val="24"/>
        </w:rPr>
        <w:t>’;</w:t>
      </w:r>
      <w:r w:rsidRPr="0070786E">
        <w:rPr>
          <w:rFonts w:ascii="Times New Roman" w:hAnsi="Times New Roman" w:cs="Times New Roman"/>
          <w:sz w:val="24"/>
          <w:szCs w:val="24"/>
        </w:rPr>
        <w:t xml:space="preserve"> to use a metaphor borrowed from physics. That</w:t>
      </w:r>
      <w:r w:rsidR="00100106">
        <w:rPr>
          <w:rFonts w:ascii="Times New Roman" w:hAnsi="Times New Roman" w:cs="Times New Roman"/>
          <w:sz w:val="24"/>
          <w:szCs w:val="24"/>
        </w:rPr>
        <w:t>, in bipolar terms,</w:t>
      </w:r>
      <w:r w:rsidRPr="0070786E">
        <w:rPr>
          <w:rFonts w:ascii="Times New Roman" w:hAnsi="Times New Roman" w:cs="Times New Roman"/>
          <w:sz w:val="24"/>
          <w:szCs w:val="24"/>
        </w:rPr>
        <w:t xml:space="preserve"> a potential difference between any two points, moments, poles, aspects or polarities, etc., potentially oversees a set of </w:t>
      </w:r>
      <w:r w:rsidR="00100106">
        <w:rPr>
          <w:rFonts w:ascii="Times New Roman" w:hAnsi="Times New Roman" w:cs="Times New Roman"/>
          <w:sz w:val="24"/>
          <w:szCs w:val="24"/>
        </w:rPr>
        <w:t>‘</w:t>
      </w:r>
      <w:r w:rsidRPr="0070786E">
        <w:rPr>
          <w:rFonts w:ascii="Times New Roman" w:hAnsi="Times New Roman" w:cs="Times New Roman"/>
          <w:sz w:val="24"/>
          <w:szCs w:val="24"/>
        </w:rPr>
        <w:t>currents</w:t>
      </w:r>
      <w:r w:rsidR="00100106">
        <w:rPr>
          <w:rFonts w:ascii="Times New Roman" w:hAnsi="Times New Roman" w:cs="Times New Roman"/>
          <w:sz w:val="24"/>
          <w:szCs w:val="24"/>
        </w:rPr>
        <w:t>’</w:t>
      </w:r>
      <w:r w:rsidRPr="0070786E">
        <w:rPr>
          <w:rFonts w:ascii="Times New Roman" w:hAnsi="Times New Roman" w:cs="Times New Roman"/>
          <w:sz w:val="24"/>
          <w:szCs w:val="24"/>
        </w:rPr>
        <w:t>. However only a system read as between three or more points, etc., can be read in the apparent currency of an economic</w:t>
      </w:r>
      <w:r w:rsidR="00331C1D">
        <w:rPr>
          <w:rStyle w:val="FootnoteReference"/>
          <w:rFonts w:ascii="Times New Roman" w:hAnsi="Times New Roman" w:cs="Times New Roman"/>
          <w:sz w:val="24"/>
          <w:szCs w:val="24"/>
        </w:rPr>
        <w:footnoteReference w:id="2"/>
      </w:r>
      <w:r w:rsidRPr="0070786E">
        <w:rPr>
          <w:rFonts w:ascii="Times New Roman" w:hAnsi="Times New Roman" w:cs="Times New Roman"/>
          <w:sz w:val="24"/>
          <w:szCs w:val="24"/>
        </w:rPr>
        <w:t xml:space="preserve"> </w:t>
      </w:r>
      <w:r w:rsidR="00100106">
        <w:rPr>
          <w:rFonts w:ascii="Times New Roman" w:hAnsi="Times New Roman" w:cs="Times New Roman"/>
          <w:sz w:val="24"/>
          <w:szCs w:val="24"/>
        </w:rPr>
        <w:t>‘</w:t>
      </w:r>
      <w:r w:rsidRPr="0070786E">
        <w:rPr>
          <w:rFonts w:ascii="Times New Roman" w:hAnsi="Times New Roman" w:cs="Times New Roman"/>
          <w:sz w:val="24"/>
          <w:szCs w:val="24"/>
        </w:rPr>
        <w:t>system</w:t>
      </w:r>
      <w:r w:rsidR="00100106">
        <w:rPr>
          <w:rFonts w:ascii="Times New Roman" w:hAnsi="Times New Roman" w:cs="Times New Roman"/>
          <w:sz w:val="24"/>
          <w:szCs w:val="24"/>
        </w:rPr>
        <w:t>’</w:t>
      </w:r>
      <w:r w:rsidRPr="0070786E">
        <w:rPr>
          <w:rFonts w:ascii="Times New Roman" w:hAnsi="Times New Roman" w:cs="Times New Roman"/>
          <w:sz w:val="24"/>
          <w:szCs w:val="24"/>
        </w:rPr>
        <w:t>... along with its co</w:t>
      </w:r>
      <w:r w:rsidR="00100106">
        <w:rPr>
          <w:rFonts w:ascii="Times New Roman" w:hAnsi="Times New Roman" w:cs="Times New Roman"/>
          <w:sz w:val="24"/>
          <w:szCs w:val="24"/>
        </w:rPr>
        <w:t>-</w:t>
      </w:r>
      <w:r w:rsidRPr="0070786E">
        <w:rPr>
          <w:rFonts w:ascii="Times New Roman" w:hAnsi="Times New Roman" w:cs="Times New Roman"/>
          <w:sz w:val="24"/>
          <w:szCs w:val="24"/>
        </w:rPr>
        <w:t>option of valuational formation (read as a set of value transforms</w:t>
      </w:r>
      <w:r w:rsidR="00100106">
        <w:rPr>
          <w:rStyle w:val="FootnoteReference"/>
          <w:rFonts w:ascii="Times New Roman" w:hAnsi="Times New Roman" w:cs="Times New Roman"/>
          <w:sz w:val="24"/>
          <w:szCs w:val="24"/>
        </w:rPr>
        <w:footnoteReference w:id="3"/>
      </w:r>
      <w:r w:rsidRPr="0070786E">
        <w:rPr>
          <w:rFonts w:ascii="Times New Roman" w:hAnsi="Times New Roman" w:cs="Times New Roman"/>
          <w:sz w:val="24"/>
          <w:szCs w:val="24"/>
        </w:rPr>
        <w:t xml:space="preserve">). (1) </w:t>
      </w:r>
    </w:p>
    <w:p w14:paraId="698ABB70" w14:textId="77777777" w:rsidR="00100106" w:rsidRDefault="0070786E" w:rsidP="00100106">
      <w:pPr>
        <w:ind w:firstLine="720"/>
        <w:jc w:val="both"/>
        <w:rPr>
          <w:rFonts w:ascii="Times New Roman" w:hAnsi="Times New Roman" w:cs="Times New Roman"/>
          <w:sz w:val="24"/>
          <w:szCs w:val="24"/>
        </w:rPr>
      </w:pPr>
      <w:r w:rsidRPr="0070786E">
        <w:rPr>
          <w:rFonts w:ascii="Times New Roman" w:hAnsi="Times New Roman" w:cs="Times New Roman"/>
          <w:sz w:val="24"/>
          <w:szCs w:val="24"/>
        </w:rPr>
        <w:t xml:space="preserve">So it is necessary to apply this insight to an intentional economy in order to understand it economically, i.e., as a system of circulation. (2) </w:t>
      </w:r>
    </w:p>
    <w:p w14:paraId="0A45A011" w14:textId="77777777" w:rsidR="00100106" w:rsidRDefault="0070786E" w:rsidP="00100106">
      <w:pPr>
        <w:ind w:firstLine="720"/>
        <w:jc w:val="both"/>
        <w:rPr>
          <w:rFonts w:ascii="Times New Roman" w:hAnsi="Times New Roman" w:cs="Times New Roman"/>
          <w:sz w:val="24"/>
          <w:szCs w:val="24"/>
        </w:rPr>
      </w:pPr>
      <w:r w:rsidRPr="0070786E">
        <w:rPr>
          <w:rFonts w:ascii="Times New Roman" w:hAnsi="Times New Roman" w:cs="Times New Roman"/>
          <w:sz w:val="24"/>
          <w:szCs w:val="24"/>
        </w:rPr>
        <w:t>To date I have often stressed the need to see intentionality through a twofold lens, namely, in an objective sense of directedness and in a sense of purpose or motivation. However, the necessity of a threefold lens would lead one to suspect a third prominent s</w:t>
      </w:r>
      <w:r w:rsidR="00331C1D">
        <w:rPr>
          <w:rFonts w:ascii="Times New Roman" w:hAnsi="Times New Roman" w:cs="Times New Roman"/>
          <w:sz w:val="24"/>
          <w:szCs w:val="24"/>
        </w:rPr>
        <w:t>trand residing in language dea</w:t>
      </w:r>
      <w:r w:rsidRPr="0070786E">
        <w:rPr>
          <w:rFonts w:ascii="Times New Roman" w:hAnsi="Times New Roman" w:cs="Times New Roman"/>
          <w:sz w:val="24"/>
          <w:szCs w:val="24"/>
        </w:rPr>
        <w:t xml:space="preserve">ling with intent. What might this third sense be? (3) </w:t>
      </w:r>
    </w:p>
    <w:p w14:paraId="2C1A60A1" w14:textId="77777777" w:rsidR="00100106" w:rsidRDefault="0070786E" w:rsidP="00100106">
      <w:pPr>
        <w:ind w:firstLine="720"/>
        <w:jc w:val="both"/>
        <w:rPr>
          <w:rFonts w:ascii="Times New Roman" w:hAnsi="Times New Roman" w:cs="Times New Roman"/>
          <w:sz w:val="24"/>
          <w:szCs w:val="24"/>
        </w:rPr>
      </w:pPr>
      <w:r w:rsidRPr="0070786E">
        <w:rPr>
          <w:rFonts w:ascii="Times New Roman" w:hAnsi="Times New Roman" w:cs="Times New Roman"/>
          <w:sz w:val="24"/>
          <w:szCs w:val="24"/>
        </w:rPr>
        <w:t>Applying my understanding of an aspirational economy to an exploration of an intentional economy would lead me to conclu</w:t>
      </w:r>
      <w:r w:rsidR="00100106">
        <w:rPr>
          <w:rFonts w:ascii="Times New Roman" w:hAnsi="Times New Roman" w:cs="Times New Roman"/>
          <w:sz w:val="24"/>
          <w:szCs w:val="24"/>
        </w:rPr>
        <w:t>de this third strand is hermeneutically</w:t>
      </w:r>
      <w:r w:rsidRPr="0070786E">
        <w:rPr>
          <w:rFonts w:ascii="Times New Roman" w:hAnsi="Times New Roman" w:cs="Times New Roman"/>
          <w:sz w:val="24"/>
          <w:szCs w:val="24"/>
        </w:rPr>
        <w:t xml:space="preserve"> oriented. I.e., that pragmatically dealing with genre (in a context of con-text</w:t>
      </w:r>
      <w:r w:rsidR="00331C1D">
        <w:rPr>
          <w:rStyle w:val="FootnoteReference"/>
          <w:rFonts w:ascii="Times New Roman" w:hAnsi="Times New Roman" w:cs="Times New Roman"/>
          <w:sz w:val="24"/>
          <w:szCs w:val="24"/>
        </w:rPr>
        <w:footnoteReference w:id="4"/>
      </w:r>
      <w:r w:rsidRPr="0070786E">
        <w:rPr>
          <w:rFonts w:ascii="Times New Roman" w:hAnsi="Times New Roman" w:cs="Times New Roman"/>
          <w:sz w:val="24"/>
          <w:szCs w:val="24"/>
        </w:rPr>
        <w:t xml:space="preserve">), or, in effect, that which deals with 'how'; in what manner is one to proceed in engineering that type of intent, and, more importantly, set about putting it onto effect if that transformed state of affairs were to be both desired and desired as realized in non-intentional terms of reference. (4) </w:t>
      </w:r>
    </w:p>
    <w:p w14:paraId="0AF9B9AA" w14:textId="77777777" w:rsidR="00100106" w:rsidRDefault="0070786E" w:rsidP="00100106">
      <w:pPr>
        <w:ind w:firstLine="720"/>
        <w:jc w:val="both"/>
        <w:rPr>
          <w:rFonts w:ascii="Times New Roman" w:hAnsi="Times New Roman" w:cs="Times New Roman"/>
          <w:sz w:val="24"/>
          <w:szCs w:val="24"/>
        </w:rPr>
      </w:pPr>
      <w:r w:rsidRPr="0070786E">
        <w:rPr>
          <w:rFonts w:ascii="Times New Roman" w:hAnsi="Times New Roman" w:cs="Times New Roman"/>
          <w:sz w:val="24"/>
          <w:szCs w:val="24"/>
        </w:rPr>
        <w:t>That in this light the intentional can find its informative contrast with the non-intentional (as well as with the pre-intentional gestation of intent and it trans-intentional appreciation through judgment and its co-ass</w:t>
      </w:r>
      <w:r w:rsidR="00100106">
        <w:rPr>
          <w:rFonts w:ascii="Times New Roman" w:hAnsi="Times New Roman" w:cs="Times New Roman"/>
          <w:sz w:val="24"/>
          <w:szCs w:val="24"/>
        </w:rPr>
        <w:t>ociated valuational formation (</w:t>
      </w:r>
      <w:r w:rsidRPr="0070786E">
        <w:rPr>
          <w:rFonts w:ascii="Times New Roman" w:hAnsi="Times New Roman" w:cs="Times New Roman"/>
          <w:sz w:val="24"/>
          <w:szCs w:val="24"/>
        </w:rPr>
        <w:t xml:space="preserve">in terms of identity formation, pragmatic functionality and/or value formation). (5) </w:t>
      </w:r>
    </w:p>
    <w:p w14:paraId="29545293" w14:textId="77777777" w:rsidR="00100106" w:rsidRDefault="0070786E" w:rsidP="00100106">
      <w:pPr>
        <w:ind w:firstLine="720"/>
        <w:jc w:val="both"/>
        <w:rPr>
          <w:rFonts w:ascii="Times New Roman" w:hAnsi="Times New Roman" w:cs="Times New Roman"/>
          <w:sz w:val="24"/>
          <w:szCs w:val="24"/>
        </w:rPr>
      </w:pPr>
      <w:r w:rsidRPr="0070786E">
        <w:rPr>
          <w:rFonts w:ascii="Times New Roman" w:hAnsi="Times New Roman" w:cs="Times New Roman"/>
          <w:sz w:val="24"/>
          <w:szCs w:val="24"/>
        </w:rPr>
        <w:t xml:space="preserve">Thence this revised approach to this topic of the intentional economy... looked at from both intentional and philosophical perspectives. (6) </w:t>
      </w:r>
    </w:p>
    <w:p w14:paraId="22F0A480" w14:textId="77777777" w:rsidR="00100106" w:rsidRDefault="0070786E" w:rsidP="00100106">
      <w:pPr>
        <w:ind w:firstLine="720"/>
        <w:jc w:val="both"/>
        <w:rPr>
          <w:rFonts w:ascii="Times New Roman" w:hAnsi="Times New Roman" w:cs="Times New Roman"/>
          <w:sz w:val="24"/>
          <w:szCs w:val="24"/>
        </w:rPr>
      </w:pPr>
      <w:r w:rsidRPr="0070786E">
        <w:rPr>
          <w:rFonts w:ascii="Times New Roman" w:hAnsi="Times New Roman" w:cs="Times New Roman"/>
          <w:sz w:val="24"/>
          <w:szCs w:val="24"/>
        </w:rPr>
        <w:t>These three economi</w:t>
      </w:r>
      <w:r w:rsidR="00100106">
        <w:rPr>
          <w:rFonts w:ascii="Times New Roman" w:hAnsi="Times New Roman" w:cs="Times New Roman"/>
          <w:sz w:val="24"/>
          <w:szCs w:val="24"/>
        </w:rPr>
        <w:t>c aspects of intentional appre</w:t>
      </w:r>
      <w:r w:rsidRPr="0070786E">
        <w:rPr>
          <w:rFonts w:ascii="Times New Roman" w:hAnsi="Times New Roman" w:cs="Times New Roman"/>
          <w:sz w:val="24"/>
          <w:szCs w:val="24"/>
        </w:rPr>
        <w:t>ciation, whether in terms of philosophically oriented form or non-philosophica</w:t>
      </w:r>
      <w:r w:rsidR="00100106">
        <w:rPr>
          <w:rFonts w:ascii="Times New Roman" w:hAnsi="Times New Roman" w:cs="Times New Roman"/>
          <w:sz w:val="24"/>
          <w:szCs w:val="24"/>
        </w:rPr>
        <w:t>lly oriented content, being re</w:t>
      </w:r>
      <w:r w:rsidRPr="0070786E">
        <w:rPr>
          <w:rFonts w:ascii="Times New Roman" w:hAnsi="Times New Roman" w:cs="Times New Roman"/>
          <w:sz w:val="24"/>
          <w:szCs w:val="24"/>
        </w:rPr>
        <w:t xml:space="preserve">spectively phenomenal-phenomenological, existential (in its non-systematic sense) and hermeneutical. (7) </w:t>
      </w:r>
    </w:p>
    <w:p w14:paraId="04E386D7" w14:textId="590E6543" w:rsidR="005E7B06" w:rsidRDefault="0070786E" w:rsidP="00100106">
      <w:pPr>
        <w:ind w:firstLine="720"/>
        <w:jc w:val="both"/>
        <w:rPr>
          <w:rFonts w:ascii="Times New Roman" w:hAnsi="Times New Roman" w:cs="Times New Roman"/>
          <w:sz w:val="24"/>
          <w:szCs w:val="24"/>
        </w:rPr>
      </w:pPr>
      <w:r w:rsidRPr="0070786E">
        <w:rPr>
          <w:rFonts w:ascii="Times New Roman" w:hAnsi="Times New Roman" w:cs="Times New Roman"/>
          <w:sz w:val="24"/>
          <w:szCs w:val="24"/>
        </w:rPr>
        <w:t xml:space="preserve">The import of these reflections being that in exploring intentionality these three inter-dependent aspects should be both critically distinguished and/or accommodated over the course of </w:t>
      </w:r>
      <w:r w:rsidR="00C32671">
        <w:rPr>
          <w:rFonts w:ascii="Times New Roman" w:hAnsi="Times New Roman" w:cs="Times New Roman"/>
          <w:sz w:val="24"/>
          <w:szCs w:val="24"/>
        </w:rPr>
        <w:t>our critical</w:t>
      </w:r>
      <w:r w:rsidRPr="0070786E">
        <w:rPr>
          <w:rFonts w:ascii="Times New Roman" w:hAnsi="Times New Roman" w:cs="Times New Roman"/>
          <w:sz w:val="24"/>
          <w:szCs w:val="24"/>
        </w:rPr>
        <w:t xml:space="preserve"> philosophical scrutiny. (8)</w:t>
      </w:r>
      <w:r w:rsidR="00C32671">
        <w:rPr>
          <w:rFonts w:ascii="Times New Roman" w:hAnsi="Times New Roman" w:cs="Times New Roman"/>
          <w:sz w:val="24"/>
          <w:szCs w:val="24"/>
        </w:rPr>
        <w:t xml:space="preserve">   </w:t>
      </w:r>
      <w:r w:rsidR="00C32671">
        <w:rPr>
          <w:rFonts w:ascii="Times New Roman" w:hAnsi="Times New Roman" w:cs="Times New Roman"/>
          <w:sz w:val="24"/>
          <w:szCs w:val="24"/>
        </w:rPr>
        <w:tab/>
      </w:r>
      <w:r w:rsidR="00C32671">
        <w:rPr>
          <w:rFonts w:ascii="Times New Roman" w:hAnsi="Times New Roman" w:cs="Times New Roman"/>
          <w:sz w:val="24"/>
          <w:szCs w:val="24"/>
        </w:rPr>
        <w:tab/>
      </w:r>
      <w:proofErr w:type="gramStart"/>
      <w:r w:rsidR="00C32671">
        <w:rPr>
          <w:rFonts w:ascii="Times New Roman" w:hAnsi="Times New Roman" w:cs="Times New Roman"/>
          <w:sz w:val="24"/>
          <w:szCs w:val="24"/>
        </w:rPr>
        <w:tab/>
        <w:t xml:space="preserve">  Noël</w:t>
      </w:r>
      <w:proofErr w:type="gramEnd"/>
      <w:r w:rsidR="00C32671">
        <w:rPr>
          <w:rFonts w:ascii="Times New Roman" w:hAnsi="Times New Roman" w:cs="Times New Roman"/>
          <w:sz w:val="24"/>
          <w:szCs w:val="24"/>
        </w:rPr>
        <w:t xml:space="preserve"> Tointon, Penrith, 22.11.18.</w:t>
      </w:r>
      <w:bookmarkEnd w:id="0"/>
    </w:p>
    <w:sectPr w:rsidR="005E7B06">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4CDA2D" w14:textId="77777777" w:rsidR="00100106" w:rsidRDefault="00100106" w:rsidP="00100106">
      <w:pPr>
        <w:spacing w:after="0" w:line="240" w:lineRule="auto"/>
      </w:pPr>
      <w:r>
        <w:separator/>
      </w:r>
    </w:p>
  </w:endnote>
  <w:endnote w:type="continuationSeparator" w:id="0">
    <w:p w14:paraId="2A2006BC" w14:textId="77777777" w:rsidR="00100106" w:rsidRDefault="00100106" w:rsidP="001001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EED18F" w14:textId="77777777" w:rsidR="00100106" w:rsidRDefault="00100106" w:rsidP="00100106">
      <w:pPr>
        <w:spacing w:after="0" w:line="240" w:lineRule="auto"/>
      </w:pPr>
      <w:r>
        <w:separator/>
      </w:r>
    </w:p>
  </w:footnote>
  <w:footnote w:type="continuationSeparator" w:id="0">
    <w:p w14:paraId="221C7FE7" w14:textId="77777777" w:rsidR="00100106" w:rsidRDefault="00100106" w:rsidP="00100106">
      <w:pPr>
        <w:spacing w:after="0" w:line="240" w:lineRule="auto"/>
      </w:pPr>
      <w:r>
        <w:continuationSeparator/>
      </w:r>
    </w:p>
  </w:footnote>
  <w:footnote w:id="1">
    <w:p w14:paraId="10DBF357" w14:textId="77777777" w:rsidR="00331C1D" w:rsidRPr="00A2008F" w:rsidRDefault="00331C1D" w:rsidP="00331C1D">
      <w:pPr>
        <w:pStyle w:val="FootnoteText"/>
        <w:jc w:val="both"/>
        <w:rPr>
          <w:rFonts w:ascii="Times New Roman" w:hAnsi="Times New Roman" w:cs="Times New Roman"/>
        </w:rPr>
      </w:pPr>
      <w:r w:rsidRPr="00A2008F">
        <w:rPr>
          <w:rStyle w:val="FootnoteReference"/>
          <w:rFonts w:ascii="Times New Roman" w:hAnsi="Times New Roman" w:cs="Times New Roman"/>
        </w:rPr>
        <w:footnoteRef/>
      </w:r>
      <w:r w:rsidRPr="00A2008F">
        <w:rPr>
          <w:rFonts w:ascii="Times New Roman" w:hAnsi="Times New Roman" w:cs="Times New Roman"/>
        </w:rPr>
        <w:t xml:space="preserve"> </w:t>
      </w:r>
      <w:r w:rsidRPr="00A2008F">
        <w:rPr>
          <w:rFonts w:ascii="Times New Roman" w:hAnsi="Times New Roman" w:cs="Times New Roman"/>
        </w:rPr>
        <w:tab/>
        <w:t xml:space="preserve">A </w:t>
      </w:r>
      <w:proofErr w:type="spellStart"/>
      <w:r w:rsidRPr="00A2008F">
        <w:rPr>
          <w:rFonts w:ascii="Times New Roman" w:hAnsi="Times New Roman" w:cs="Times New Roman"/>
        </w:rPr>
        <w:t>contragram</w:t>
      </w:r>
      <w:proofErr w:type="spellEnd"/>
      <w:r w:rsidRPr="00A2008F">
        <w:rPr>
          <w:rFonts w:ascii="Times New Roman" w:hAnsi="Times New Roman" w:cs="Times New Roman"/>
        </w:rPr>
        <w:t xml:space="preserve"> being the complex proposition of the “‘x of A’ and ‘the a of X’” in a form that makes semantic sense.</w:t>
      </w:r>
    </w:p>
  </w:footnote>
  <w:footnote w:id="2">
    <w:p w14:paraId="6113092D" w14:textId="6CF3D818" w:rsidR="00331C1D" w:rsidRPr="00A2008F" w:rsidRDefault="00331C1D" w:rsidP="00331C1D">
      <w:pPr>
        <w:pStyle w:val="FootnoteText"/>
        <w:jc w:val="both"/>
        <w:rPr>
          <w:rFonts w:ascii="Times New Roman" w:hAnsi="Times New Roman" w:cs="Times New Roman"/>
        </w:rPr>
      </w:pPr>
      <w:r w:rsidRPr="00A2008F">
        <w:rPr>
          <w:rStyle w:val="FootnoteReference"/>
          <w:rFonts w:ascii="Times New Roman" w:hAnsi="Times New Roman" w:cs="Times New Roman"/>
        </w:rPr>
        <w:footnoteRef/>
      </w:r>
      <w:r w:rsidRPr="00A2008F">
        <w:rPr>
          <w:rFonts w:ascii="Times New Roman" w:hAnsi="Times New Roman" w:cs="Times New Roman"/>
        </w:rPr>
        <w:t xml:space="preserve"> </w:t>
      </w:r>
      <w:r w:rsidRPr="00A2008F">
        <w:rPr>
          <w:rFonts w:ascii="Times New Roman" w:hAnsi="Times New Roman" w:cs="Times New Roman"/>
        </w:rPr>
        <w:tab/>
        <w:t>‘Economic’ being read as system of valuational formation (that could be either non-financial or financial in the range of its semantic intent).</w:t>
      </w:r>
    </w:p>
  </w:footnote>
  <w:footnote w:id="3">
    <w:p w14:paraId="3253E282" w14:textId="77777777" w:rsidR="00100106" w:rsidRPr="00A2008F" w:rsidRDefault="00100106">
      <w:pPr>
        <w:pStyle w:val="FootnoteText"/>
        <w:rPr>
          <w:rFonts w:ascii="Times New Roman" w:hAnsi="Times New Roman" w:cs="Times New Roman"/>
        </w:rPr>
      </w:pPr>
      <w:r w:rsidRPr="00A2008F">
        <w:rPr>
          <w:rStyle w:val="FootnoteReference"/>
          <w:rFonts w:ascii="Times New Roman" w:hAnsi="Times New Roman" w:cs="Times New Roman"/>
        </w:rPr>
        <w:footnoteRef/>
      </w:r>
      <w:r w:rsidRPr="00A2008F">
        <w:rPr>
          <w:rFonts w:ascii="Times New Roman" w:hAnsi="Times New Roman" w:cs="Times New Roman"/>
        </w:rPr>
        <w:t xml:space="preserve"> </w:t>
      </w:r>
      <w:r w:rsidRPr="00A2008F">
        <w:rPr>
          <w:rFonts w:ascii="Times New Roman" w:hAnsi="Times New Roman" w:cs="Times New Roman"/>
        </w:rPr>
        <w:tab/>
      </w:r>
      <w:r w:rsidR="00331C1D" w:rsidRPr="00A2008F">
        <w:rPr>
          <w:rFonts w:ascii="Times New Roman" w:hAnsi="Times New Roman" w:cs="Times New Roman"/>
        </w:rPr>
        <w:t>Dealing</w:t>
      </w:r>
      <w:r w:rsidRPr="00A2008F">
        <w:rPr>
          <w:rFonts w:ascii="Times New Roman" w:hAnsi="Times New Roman" w:cs="Times New Roman"/>
        </w:rPr>
        <w:t xml:space="preserve"> with orientations of </w:t>
      </w:r>
      <w:r w:rsidR="00331C1D" w:rsidRPr="00A2008F">
        <w:rPr>
          <w:rFonts w:ascii="Times New Roman" w:hAnsi="Times New Roman" w:cs="Times New Roman"/>
        </w:rPr>
        <w:t>identity, functionality and/or value.</w:t>
      </w:r>
    </w:p>
  </w:footnote>
  <w:footnote w:id="4">
    <w:p w14:paraId="572562ED" w14:textId="77777777" w:rsidR="00331C1D" w:rsidRPr="00A2008F" w:rsidRDefault="00331C1D">
      <w:pPr>
        <w:pStyle w:val="FootnoteText"/>
        <w:rPr>
          <w:rFonts w:ascii="Times New Roman" w:hAnsi="Times New Roman" w:cs="Times New Roman"/>
        </w:rPr>
      </w:pPr>
      <w:r w:rsidRPr="00A2008F">
        <w:rPr>
          <w:rStyle w:val="FootnoteReference"/>
          <w:rFonts w:ascii="Times New Roman" w:hAnsi="Times New Roman" w:cs="Times New Roman"/>
        </w:rPr>
        <w:footnoteRef/>
      </w:r>
      <w:r w:rsidRPr="00A2008F">
        <w:rPr>
          <w:rFonts w:ascii="Times New Roman" w:hAnsi="Times New Roman" w:cs="Times New Roman"/>
        </w:rPr>
        <w:t xml:space="preserve"> </w:t>
      </w:r>
      <w:r w:rsidRPr="00A2008F">
        <w:rPr>
          <w:rFonts w:ascii="Times New Roman" w:hAnsi="Times New Roman" w:cs="Times New Roman"/>
        </w:rPr>
        <w:tab/>
        <w:t>Where the type of context determines and genre and v.v.</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75630799"/>
      <w:docPartObj>
        <w:docPartGallery w:val="Page Numbers (Top of Page)"/>
        <w:docPartUnique/>
      </w:docPartObj>
    </w:sdtPr>
    <w:sdtEndPr>
      <w:rPr>
        <w:noProof/>
      </w:rPr>
    </w:sdtEndPr>
    <w:sdtContent>
      <w:p w14:paraId="40F739D2" w14:textId="6E712465" w:rsidR="00100106" w:rsidRDefault="00100106">
        <w:pPr>
          <w:pStyle w:val="Header"/>
          <w:jc w:val="right"/>
        </w:pPr>
        <w:r>
          <w:fldChar w:fldCharType="begin"/>
        </w:r>
        <w:r>
          <w:instrText xml:space="preserve"> PAGE   \* MERGEFORMAT </w:instrText>
        </w:r>
        <w:r>
          <w:fldChar w:fldCharType="separate"/>
        </w:r>
        <w:r w:rsidR="00E04D95">
          <w:rPr>
            <w:noProof/>
          </w:rPr>
          <w:t>1</w:t>
        </w:r>
        <w:r>
          <w:rPr>
            <w:noProof/>
          </w:rPr>
          <w:fldChar w:fldCharType="end"/>
        </w:r>
      </w:p>
    </w:sdtContent>
  </w:sdt>
  <w:p w14:paraId="6771F3F2" w14:textId="77777777" w:rsidR="00100106" w:rsidRDefault="0010010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6" w:nlCheck="1" w:checkStyle="0"/>
  <w:activeWritingStyle w:appName="MSWord" w:lang="en-AU" w:vendorID="64" w:dllVersion="4096"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786E"/>
    <w:rsid w:val="00100106"/>
    <w:rsid w:val="0026181B"/>
    <w:rsid w:val="00331C1D"/>
    <w:rsid w:val="005E7B06"/>
    <w:rsid w:val="0070786E"/>
    <w:rsid w:val="00A2008F"/>
    <w:rsid w:val="00B02DDC"/>
    <w:rsid w:val="00C32671"/>
    <w:rsid w:val="00E04D95"/>
    <w:rsid w:val="00F0309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5EE16"/>
  <w15:chartTrackingRefBased/>
  <w15:docId w15:val="{6B96E8DD-F0E3-42B1-AD16-483CBAC63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01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0106"/>
  </w:style>
  <w:style w:type="paragraph" w:styleId="Footer">
    <w:name w:val="footer"/>
    <w:basedOn w:val="Normal"/>
    <w:link w:val="FooterChar"/>
    <w:uiPriority w:val="99"/>
    <w:unhideWhenUsed/>
    <w:rsid w:val="001001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0106"/>
  </w:style>
  <w:style w:type="paragraph" w:styleId="FootnoteText">
    <w:name w:val="footnote text"/>
    <w:basedOn w:val="Normal"/>
    <w:link w:val="FootnoteTextChar"/>
    <w:uiPriority w:val="99"/>
    <w:semiHidden/>
    <w:unhideWhenUsed/>
    <w:rsid w:val="0010010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0106"/>
    <w:rPr>
      <w:sz w:val="20"/>
      <w:szCs w:val="20"/>
    </w:rPr>
  </w:style>
  <w:style w:type="character" w:styleId="FootnoteReference">
    <w:name w:val="footnote reference"/>
    <w:basedOn w:val="DefaultParagraphFont"/>
    <w:uiPriority w:val="99"/>
    <w:semiHidden/>
    <w:unhideWhenUsed/>
    <w:rsid w:val="0010010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37085B-DC51-477A-A344-4CD4F73D45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417</Words>
  <Characters>2381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City of Sydney</Company>
  <LinksUpToDate>false</LinksUpToDate>
  <CharactersWithSpaces>2793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Reservation</dc:creator>
  <cp:keywords/>
  <dc:description/>
  <cp:lastModifiedBy>Noel Tointon</cp:lastModifiedBy>
  <cp:revision>2</cp:revision>
  <dcterms:created xsi:type="dcterms:W3CDTF">2018-12-02T14:21:00Z</dcterms:created>
  <dcterms:modified xsi:type="dcterms:W3CDTF">2018-12-02T14:21:00Z</dcterms:modified>
</cp:coreProperties>
</file>